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C5578" w:rsidRDefault="004C5578" w:rsidP="004C5578">
      <w:pPr>
        <w:spacing w:after="160" w:line="480" w:lineRule="auto"/>
        <w:jc w:val="both"/>
        <w:rPr>
          <w:rFonts w:ascii="Arial" w:hAnsi="Arial" w:cs="Arial"/>
          <w:b/>
          <w:color w:val="000000" w:themeColor="text1"/>
          <w:sz w:val="24"/>
          <w:szCs w:val="24"/>
        </w:rPr>
      </w:pPr>
      <w:r>
        <w:rPr>
          <w:rFonts w:ascii="Arial" w:hAnsi="Arial" w:cs="Arial"/>
          <w:b/>
          <w:color w:val="000000" w:themeColor="text1"/>
          <w:sz w:val="24"/>
          <w:szCs w:val="24"/>
        </w:rPr>
        <w:t>Supplementary figures</w:t>
      </w:r>
    </w:p>
    <w:p w:rsidR="004C5578" w:rsidRDefault="004C5578" w:rsidP="004C5578">
      <w:pPr>
        <w:spacing w:after="160" w:line="480" w:lineRule="auto"/>
        <w:jc w:val="both"/>
        <w:rPr>
          <w:rFonts w:ascii="Arial" w:hAnsi="Arial" w:cs="Arial"/>
          <w:color w:val="000000" w:themeColor="text1"/>
          <w:sz w:val="24"/>
          <w:szCs w:val="24"/>
        </w:rPr>
      </w:pPr>
      <w:r>
        <w:rPr>
          <w:rFonts w:ascii="Arial" w:hAnsi="Arial" w:cs="Arial"/>
          <w:noProof/>
          <w:color w:val="000000" w:themeColor="text1"/>
          <w:sz w:val="24"/>
          <w:szCs w:val="24"/>
          <w:lang w:val="en-US"/>
        </w:rPr>
        <w:drawing>
          <wp:inline distT="0" distB="0" distL="0" distR="0">
            <wp:extent cx="6021070" cy="3418205"/>
            <wp:effectExtent l="0" t="0" r="0" b="0"/>
            <wp:docPr id="3" name="Picture 3" descr="Su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upp"/>
                    <pic:cNvPicPr>
                      <a:picLocks noChangeAspect="1" noChangeArrowheads="1"/>
                    </pic:cNvPicPr>
                  </pic:nvPicPr>
                  <pic:blipFill>
                    <a:blip r:embed="rId4">
                      <a:extLst>
                        <a:ext uri="{28A0092B-C50C-407E-A947-70E740481C1C}">
                          <a14:useLocalDpi xmlns:a14="http://schemas.microsoft.com/office/drawing/2010/main" val="0"/>
                        </a:ext>
                      </a:extLst>
                    </a:blip>
                    <a:srcRect r="15891" b="59703"/>
                    <a:stretch>
                      <a:fillRect/>
                    </a:stretch>
                  </pic:blipFill>
                  <pic:spPr bwMode="auto">
                    <a:xfrm>
                      <a:off x="0" y="0"/>
                      <a:ext cx="6021070" cy="3418205"/>
                    </a:xfrm>
                    <a:prstGeom prst="rect">
                      <a:avLst/>
                    </a:prstGeom>
                    <a:noFill/>
                    <a:ln>
                      <a:noFill/>
                    </a:ln>
                  </pic:spPr>
                </pic:pic>
              </a:graphicData>
            </a:graphic>
          </wp:inline>
        </w:drawing>
      </w:r>
    </w:p>
    <w:p w:rsidR="004C5578" w:rsidRDefault="004C5578" w:rsidP="004C5578">
      <w:pPr>
        <w:spacing w:after="0" w:afterAutospacing="1" w:line="480" w:lineRule="auto"/>
        <w:jc w:val="both"/>
        <w:outlineLvl w:val="0"/>
        <w:rPr>
          <w:rFonts w:ascii="Arial" w:eastAsia="Times New Roman" w:hAnsi="Arial"/>
          <w:color w:val="000000" w:themeColor="text1"/>
          <w:sz w:val="20"/>
          <w:szCs w:val="24"/>
          <w:lang w:eastAsia="de-DE"/>
        </w:rPr>
      </w:pPr>
      <w:r>
        <w:rPr>
          <w:rFonts w:ascii="Arial" w:eastAsia="Times New Roman" w:hAnsi="Arial"/>
          <w:b/>
          <w:color w:val="000000" w:themeColor="text1"/>
          <w:sz w:val="20"/>
          <w:szCs w:val="24"/>
          <w:lang w:eastAsia="de-DE"/>
        </w:rPr>
        <w:t>Supplementary figure 1. The effect of fenofibrate on HCAECs survival.</w:t>
      </w:r>
      <w:r>
        <w:rPr>
          <w:rFonts w:ascii="Arial" w:eastAsia="Times New Roman" w:hAnsi="Arial"/>
          <w:color w:val="000000" w:themeColor="text1"/>
          <w:sz w:val="20"/>
          <w:szCs w:val="24"/>
          <w:lang w:eastAsia="de-DE"/>
        </w:rPr>
        <w:t xml:space="preserve"> The survival fraction was compared in HCAECs using Presto Blue viability assay as recommended by the manufacturer 2d (A) and 7d (B) after fenofibrate treatment. The error bars represent the standard deviation (±SD) (Ordinary one-way ANOVA, Dunnett's multiple comparisons test; </w:t>
      </w:r>
      <w:r>
        <w:rPr>
          <w:rFonts w:ascii="Arial" w:eastAsia="Times New Roman" w:hAnsi="Arial"/>
          <w:bCs/>
          <w:color w:val="000000" w:themeColor="text1"/>
          <w:sz w:val="20"/>
          <w:szCs w:val="20"/>
          <w:lang w:val="en-US" w:eastAsia="de-DE"/>
        </w:rPr>
        <w:t>*</w:t>
      </w:r>
      <w:r>
        <w:rPr>
          <w:rFonts w:ascii="Arial" w:eastAsia="Times New Roman" w:hAnsi="Arial"/>
          <w:bCs/>
          <w:i/>
          <w:color w:val="000000" w:themeColor="text1"/>
          <w:sz w:val="20"/>
          <w:szCs w:val="20"/>
          <w:lang w:val="en-US" w:eastAsia="de-DE"/>
        </w:rPr>
        <w:t>p</w:t>
      </w:r>
      <w:r>
        <w:rPr>
          <w:rFonts w:ascii="Arial" w:eastAsia="Times New Roman" w:hAnsi="Arial"/>
          <w:bCs/>
          <w:color w:val="000000" w:themeColor="text1"/>
          <w:sz w:val="20"/>
          <w:szCs w:val="20"/>
          <w:lang w:val="en-US" w:eastAsia="de-DE"/>
        </w:rPr>
        <w:t xml:space="preserve"> ≤ 0.05; **</w:t>
      </w:r>
      <w:r>
        <w:rPr>
          <w:rFonts w:ascii="Arial" w:eastAsia="Times New Roman" w:hAnsi="Arial"/>
          <w:bCs/>
          <w:i/>
          <w:color w:val="000000" w:themeColor="text1"/>
          <w:sz w:val="20"/>
          <w:szCs w:val="20"/>
          <w:lang w:val="en-US" w:eastAsia="de-DE"/>
        </w:rPr>
        <w:t>p</w:t>
      </w:r>
      <w:r>
        <w:rPr>
          <w:rFonts w:ascii="Arial" w:eastAsia="Times New Roman" w:hAnsi="Arial"/>
          <w:bCs/>
          <w:color w:val="000000" w:themeColor="text1"/>
          <w:sz w:val="20"/>
          <w:szCs w:val="20"/>
          <w:lang w:val="en-US" w:eastAsia="de-DE"/>
        </w:rPr>
        <w:t xml:space="preserve"> ≤ 0.01; ***</w:t>
      </w:r>
      <w:r>
        <w:rPr>
          <w:rFonts w:ascii="Arial" w:eastAsia="Times New Roman" w:hAnsi="Arial"/>
          <w:bCs/>
          <w:i/>
          <w:color w:val="000000" w:themeColor="text1"/>
          <w:sz w:val="20"/>
          <w:szCs w:val="20"/>
          <w:lang w:val="en-US" w:eastAsia="de-DE"/>
        </w:rPr>
        <w:t>p</w:t>
      </w:r>
      <w:r>
        <w:rPr>
          <w:rFonts w:ascii="Arial" w:eastAsia="Times New Roman" w:hAnsi="Arial"/>
          <w:bCs/>
          <w:color w:val="000000" w:themeColor="text1"/>
          <w:sz w:val="20"/>
          <w:szCs w:val="20"/>
          <w:lang w:val="en-US" w:eastAsia="de-DE"/>
        </w:rPr>
        <w:t>≤ 0.001; ****</w:t>
      </w:r>
      <w:r>
        <w:rPr>
          <w:rFonts w:ascii="Arial" w:eastAsia="Times New Roman" w:hAnsi="Arial"/>
          <w:bCs/>
          <w:i/>
          <w:color w:val="000000" w:themeColor="text1"/>
          <w:sz w:val="20"/>
          <w:szCs w:val="20"/>
          <w:lang w:val="en-US" w:eastAsia="de-DE"/>
        </w:rPr>
        <w:t>p</w:t>
      </w:r>
      <w:r>
        <w:rPr>
          <w:rFonts w:ascii="Arial" w:eastAsia="Times New Roman" w:hAnsi="Arial"/>
          <w:bCs/>
          <w:color w:val="000000" w:themeColor="text1"/>
          <w:sz w:val="20"/>
          <w:szCs w:val="20"/>
          <w:lang w:val="en-US" w:eastAsia="de-DE"/>
        </w:rPr>
        <w:t xml:space="preserve"> ≤ 0.0001; n=3).</w:t>
      </w:r>
    </w:p>
    <w:p w:rsidR="004C5578" w:rsidRDefault="004C5578" w:rsidP="004C5578">
      <w:pPr>
        <w:spacing w:after="160" w:line="480" w:lineRule="auto"/>
        <w:jc w:val="both"/>
        <w:rPr>
          <w:rFonts w:ascii="Arial" w:hAnsi="Arial" w:cs="Arial"/>
          <w:color w:val="000000" w:themeColor="text1"/>
          <w:sz w:val="24"/>
          <w:szCs w:val="24"/>
        </w:rPr>
      </w:pPr>
      <w:r>
        <w:rPr>
          <w:rFonts w:ascii="Arial" w:hAnsi="Arial" w:cs="Arial"/>
          <w:noProof/>
          <w:color w:val="000000" w:themeColor="text1"/>
          <w:sz w:val="24"/>
          <w:szCs w:val="24"/>
          <w:lang w:val="en-US"/>
        </w:rPr>
        <w:lastRenderedPageBreak/>
        <w:drawing>
          <wp:inline distT="0" distB="0" distL="0" distR="0" wp14:anchorId="44A4F248" wp14:editId="06EF8C93">
            <wp:extent cx="5934075" cy="6724650"/>
            <wp:effectExtent l="0" t="0" r="9525"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934075" cy="6724650"/>
                    </a:xfrm>
                    <a:prstGeom prst="rect">
                      <a:avLst/>
                    </a:prstGeom>
                    <a:noFill/>
                    <a:ln>
                      <a:noFill/>
                    </a:ln>
                  </pic:spPr>
                </pic:pic>
              </a:graphicData>
            </a:graphic>
          </wp:inline>
        </w:drawing>
      </w:r>
    </w:p>
    <w:p w:rsidR="004C5578" w:rsidRDefault="004C5578" w:rsidP="004C5578">
      <w:pPr>
        <w:spacing w:after="0" w:afterAutospacing="1" w:line="480" w:lineRule="auto"/>
        <w:jc w:val="both"/>
        <w:outlineLvl w:val="0"/>
        <w:rPr>
          <w:rFonts w:ascii="Arial" w:eastAsia="Times New Roman" w:hAnsi="Arial"/>
          <w:color w:val="000000" w:themeColor="text1"/>
          <w:sz w:val="20"/>
          <w:szCs w:val="24"/>
          <w:lang w:eastAsia="de-DE"/>
        </w:rPr>
      </w:pPr>
      <w:r>
        <w:rPr>
          <w:rFonts w:ascii="Arial" w:eastAsia="Times New Roman" w:hAnsi="Arial"/>
          <w:b/>
          <w:color w:val="000000" w:themeColor="text1"/>
          <w:sz w:val="20"/>
          <w:szCs w:val="24"/>
          <w:lang w:eastAsia="de-DE"/>
        </w:rPr>
        <w:t xml:space="preserve">Supplementary figure 2. The effect of fenofibrate on the </w:t>
      </w:r>
      <w:bookmarkStart w:id="0" w:name="_Hlk211789668"/>
      <w:r>
        <w:rPr>
          <w:rFonts w:ascii="Arial" w:eastAsia="Times New Roman" w:hAnsi="Arial"/>
          <w:b/>
          <w:color w:val="000000" w:themeColor="text1"/>
          <w:sz w:val="20"/>
          <w:szCs w:val="24"/>
          <w:lang w:eastAsia="de-DE"/>
        </w:rPr>
        <w:t>PPARα</w:t>
      </w:r>
      <w:bookmarkEnd w:id="0"/>
      <w:r>
        <w:rPr>
          <w:rFonts w:ascii="Arial" w:eastAsia="Times New Roman" w:hAnsi="Arial"/>
          <w:b/>
          <w:color w:val="000000" w:themeColor="text1"/>
          <w:sz w:val="20"/>
          <w:szCs w:val="24"/>
          <w:lang w:eastAsia="de-DE"/>
        </w:rPr>
        <w:t xml:space="preserve"> phosphorylation and downstream PPARα transcriptional targets</w:t>
      </w:r>
      <w:r>
        <w:rPr>
          <w:rFonts w:ascii="Arial" w:eastAsia="Times New Roman" w:hAnsi="Arial"/>
          <w:color w:val="000000" w:themeColor="text1"/>
          <w:sz w:val="20"/>
          <w:szCs w:val="24"/>
          <w:lang w:eastAsia="de-DE"/>
        </w:rPr>
        <w:t xml:space="preserve">. Levels of free phosphorylated PPARα proteins was compared by immunoblotting in HCAECs (A-D), with total protein measured by Ponceau S staining used as a loading control for 2d (A-B) and 7d (C-D). qPCR analysis of PPARα and PPARα transcriptional targets 2d (E) and </w:t>
      </w:r>
      <w:r>
        <w:rPr>
          <w:rFonts w:ascii="Arial" w:eastAsia="Times New Roman" w:hAnsi="Arial"/>
          <w:color w:val="000000" w:themeColor="text1"/>
          <w:sz w:val="20"/>
          <w:szCs w:val="24"/>
          <w:lang w:eastAsia="de-DE"/>
        </w:rPr>
        <w:lastRenderedPageBreak/>
        <w:t>7d (F) after fenofibrate treatment. The error bars represent the standard deviation (±SD) (Unpaired t test, Holm-Šídák multiple correction method; *p ≤ 0.05; n=3).</w:t>
      </w:r>
    </w:p>
    <w:p w:rsidR="004C5578" w:rsidRDefault="004C5578" w:rsidP="004C5578">
      <w:pPr>
        <w:spacing w:after="160" w:line="480" w:lineRule="auto"/>
        <w:jc w:val="both"/>
        <w:rPr>
          <w:rFonts w:ascii="Arial" w:hAnsi="Arial" w:cs="Arial"/>
          <w:color w:val="000000" w:themeColor="text1"/>
          <w:sz w:val="24"/>
          <w:szCs w:val="24"/>
        </w:rPr>
      </w:pPr>
      <w:r>
        <w:rPr>
          <w:rFonts w:ascii="Arial" w:hAnsi="Arial" w:cs="Arial"/>
          <w:noProof/>
          <w:color w:val="000000" w:themeColor="text1"/>
          <w:sz w:val="24"/>
          <w:szCs w:val="24"/>
          <w:lang w:val="en-US"/>
        </w:rPr>
        <w:drawing>
          <wp:inline distT="0" distB="0" distL="0" distR="0" wp14:anchorId="2EF0A3C4" wp14:editId="60C7712A">
            <wp:extent cx="5895199" cy="4640580"/>
            <wp:effectExtent l="0" t="0" r="0" b="762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upp Figure 3ABC.tif"/>
                    <pic:cNvPicPr/>
                  </pic:nvPicPr>
                  <pic:blipFill rotWithShape="1">
                    <a:blip r:embed="rId6"/>
                    <a:srcRect l="-641" t="3299" r="641" b="4636"/>
                    <a:stretch/>
                  </pic:blipFill>
                  <pic:spPr bwMode="auto">
                    <a:xfrm>
                      <a:off x="0" y="0"/>
                      <a:ext cx="5899825" cy="4644222"/>
                    </a:xfrm>
                    <a:prstGeom prst="rect">
                      <a:avLst/>
                    </a:prstGeom>
                    <a:ln>
                      <a:noFill/>
                    </a:ln>
                    <a:extLst>
                      <a:ext uri="{53640926-AAD7-44D8-BBD7-CCE9431645EC}">
                        <a14:shadowObscured xmlns:a14="http://schemas.microsoft.com/office/drawing/2010/main"/>
                      </a:ext>
                    </a:extLst>
                  </pic:spPr>
                </pic:pic>
              </a:graphicData>
            </a:graphic>
          </wp:inline>
        </w:drawing>
      </w:r>
    </w:p>
    <w:p w:rsidR="004C5578" w:rsidRDefault="004C5578" w:rsidP="004C5578">
      <w:pPr>
        <w:spacing w:after="160" w:line="480" w:lineRule="auto"/>
        <w:jc w:val="both"/>
        <w:rPr>
          <w:rFonts w:ascii="Arial" w:eastAsia="Times New Roman" w:hAnsi="Arial"/>
          <w:color w:val="000000" w:themeColor="text1"/>
          <w:sz w:val="20"/>
          <w:szCs w:val="24"/>
          <w:lang w:eastAsia="de-DE"/>
        </w:rPr>
      </w:pPr>
      <w:r>
        <w:rPr>
          <w:rFonts w:ascii="Arial" w:eastAsia="Times New Roman" w:hAnsi="Arial"/>
          <w:b/>
          <w:color w:val="000000" w:themeColor="text1"/>
          <w:sz w:val="20"/>
          <w:szCs w:val="24"/>
          <w:lang w:eastAsia="de-DE"/>
        </w:rPr>
        <w:t xml:space="preserve">Supplementary figure 3. The effect of fenofibrate on intracellular ISG15, ISGylated proteins and released ISG15. </w:t>
      </w:r>
      <w:r>
        <w:rPr>
          <w:rFonts w:ascii="Arial" w:eastAsia="Times New Roman" w:hAnsi="Arial"/>
          <w:color w:val="000000" w:themeColor="text1"/>
          <w:sz w:val="20"/>
          <w:szCs w:val="24"/>
          <w:lang w:eastAsia="de-DE"/>
        </w:rPr>
        <w:t>Levels of free ISG15 and ISGylated proteins were compared by immunoblotting in HCAECs (A-B), with total protein measured by Ponceau S staining used as a loading control (A). Released ISG15 in the supernatant (SNT) was measured by slot-blot (C), and signal intensity was normalized to background levels determined from unconditioned medium.</w:t>
      </w:r>
    </w:p>
    <w:p w:rsidR="004C5578" w:rsidRDefault="004C5578" w:rsidP="004C5578">
      <w:pPr>
        <w:spacing w:after="160" w:line="480" w:lineRule="auto"/>
        <w:jc w:val="both"/>
        <w:rPr>
          <w:rFonts w:ascii="Arial" w:hAnsi="Arial" w:cs="Arial"/>
          <w:color w:val="000000" w:themeColor="text1"/>
          <w:sz w:val="24"/>
          <w:szCs w:val="24"/>
        </w:rPr>
      </w:pPr>
      <w:r>
        <w:rPr>
          <w:rFonts w:ascii="Arial" w:hAnsi="Arial" w:cs="Arial"/>
          <w:noProof/>
          <w:color w:val="000000" w:themeColor="text1"/>
          <w:sz w:val="24"/>
          <w:szCs w:val="24"/>
          <w:lang w:val="en-US"/>
        </w:rPr>
        <w:lastRenderedPageBreak/>
        <w:drawing>
          <wp:inline distT="0" distB="0" distL="0" distR="0">
            <wp:extent cx="5950585" cy="4867275"/>
            <wp:effectExtent l="0" t="0" r="0" b="9525"/>
            <wp:docPr id="1" name="Picture 1" descr="SUMO-Ubq combined supplementa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UMO-Ubq combined supplementary"/>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950585" cy="4867275"/>
                    </a:xfrm>
                    <a:prstGeom prst="rect">
                      <a:avLst/>
                    </a:prstGeom>
                    <a:noFill/>
                    <a:ln>
                      <a:noFill/>
                    </a:ln>
                  </pic:spPr>
                </pic:pic>
              </a:graphicData>
            </a:graphic>
          </wp:inline>
        </w:drawing>
      </w:r>
    </w:p>
    <w:p w:rsidR="004C5578" w:rsidRDefault="004C5578" w:rsidP="004C5578">
      <w:pPr>
        <w:spacing w:after="160" w:line="480" w:lineRule="auto"/>
        <w:jc w:val="both"/>
        <w:rPr>
          <w:rFonts w:ascii="Arial" w:eastAsia="Times New Roman" w:hAnsi="Arial"/>
          <w:color w:val="000000" w:themeColor="text1"/>
          <w:sz w:val="20"/>
          <w:szCs w:val="24"/>
          <w:lang w:eastAsia="de-DE"/>
        </w:rPr>
      </w:pPr>
      <w:r>
        <w:rPr>
          <w:rFonts w:ascii="Arial" w:eastAsia="Times New Roman" w:hAnsi="Arial"/>
          <w:b/>
          <w:color w:val="000000" w:themeColor="text1"/>
          <w:sz w:val="20"/>
          <w:szCs w:val="24"/>
          <w:lang w:eastAsia="de-DE"/>
        </w:rPr>
        <w:t xml:space="preserve">Supplementary figure 4. The effect of fenofibrate on intracellular SUMO1, SUMO2/3, and ubiquitinated proteins. </w:t>
      </w:r>
      <w:r>
        <w:rPr>
          <w:rFonts w:ascii="Arial" w:eastAsia="Times New Roman" w:hAnsi="Arial"/>
          <w:color w:val="000000" w:themeColor="text1"/>
          <w:sz w:val="20"/>
          <w:szCs w:val="24"/>
          <w:lang w:eastAsia="de-DE"/>
        </w:rPr>
        <w:t>Levels of free and conjugated SUMO1 (A–D), SUMO2/3 (E–H), and ubiquitinated proteins (I–K) were analysed in HCAECs by immunoblotting, with total protein visualized by Ponceau S staining used as a loading control (A, E, I).</w:t>
      </w:r>
      <w:r>
        <w:rPr>
          <w:color w:val="000000" w:themeColor="text1"/>
        </w:rPr>
        <w:t xml:space="preserve"> </w:t>
      </w:r>
      <w:r>
        <w:rPr>
          <w:rFonts w:ascii="Arial" w:eastAsia="Times New Roman" w:hAnsi="Arial" w:cs="Arial"/>
          <w:bCs/>
          <w:color w:val="000000" w:themeColor="text1"/>
          <w:kern w:val="36"/>
          <w:sz w:val="20"/>
          <w:szCs w:val="24"/>
          <w:lang w:eastAsia="en-IN"/>
        </w:rPr>
        <w:t>The error bars represent the standard deviation (±SD) (Two-way ANOVA, Tukey's multiple comparisons test; *</w:t>
      </w:r>
      <w:r>
        <w:rPr>
          <w:rFonts w:ascii="Arial" w:eastAsia="Times New Roman" w:hAnsi="Arial" w:cs="Arial"/>
          <w:bCs/>
          <w:i/>
          <w:color w:val="000000" w:themeColor="text1"/>
          <w:kern w:val="36"/>
          <w:sz w:val="20"/>
          <w:szCs w:val="24"/>
          <w:lang w:eastAsia="en-IN"/>
        </w:rPr>
        <w:t>p</w:t>
      </w:r>
      <w:r>
        <w:rPr>
          <w:rFonts w:ascii="Arial" w:eastAsia="Times New Roman" w:hAnsi="Arial" w:cs="Arial"/>
          <w:bCs/>
          <w:color w:val="000000" w:themeColor="text1"/>
          <w:kern w:val="36"/>
          <w:sz w:val="20"/>
          <w:szCs w:val="24"/>
          <w:lang w:eastAsia="en-IN"/>
        </w:rPr>
        <w:t xml:space="preserve"> ≤ 0.05; **</w:t>
      </w:r>
      <w:r>
        <w:rPr>
          <w:rFonts w:ascii="Arial" w:eastAsia="Times New Roman" w:hAnsi="Arial" w:cs="Arial"/>
          <w:bCs/>
          <w:i/>
          <w:color w:val="000000" w:themeColor="text1"/>
          <w:kern w:val="36"/>
          <w:sz w:val="20"/>
          <w:szCs w:val="24"/>
          <w:lang w:eastAsia="en-IN"/>
        </w:rPr>
        <w:t>p</w:t>
      </w:r>
      <w:r>
        <w:rPr>
          <w:rFonts w:ascii="Arial" w:eastAsia="Times New Roman" w:hAnsi="Arial" w:cs="Arial"/>
          <w:bCs/>
          <w:color w:val="000000" w:themeColor="text1"/>
          <w:kern w:val="36"/>
          <w:sz w:val="20"/>
          <w:szCs w:val="24"/>
          <w:lang w:eastAsia="en-IN"/>
        </w:rPr>
        <w:t xml:space="preserve"> ≤ 0.01; n=3).</w:t>
      </w:r>
    </w:p>
    <w:p w:rsidR="004C5578" w:rsidRDefault="004C5578" w:rsidP="004C5578">
      <w:pPr>
        <w:spacing w:after="160" w:line="480" w:lineRule="auto"/>
        <w:jc w:val="both"/>
        <w:rPr>
          <w:rFonts w:ascii="Arial" w:hAnsi="Arial" w:cs="Arial"/>
          <w:color w:val="000000" w:themeColor="text1"/>
          <w:sz w:val="24"/>
          <w:szCs w:val="24"/>
        </w:rPr>
      </w:pPr>
    </w:p>
    <w:p w:rsidR="00F67FA9" w:rsidRDefault="00F67FA9">
      <w:bookmarkStart w:id="1" w:name="_GoBack"/>
      <w:bookmarkEnd w:id="1"/>
    </w:p>
    <w:sectPr w:rsidR="00F67FA9">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68"/>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C5578"/>
    <w:rsid w:val="004C5578"/>
    <w:rsid w:val="00F67FA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FA9AA9BE-5E7C-419D-9C2B-02BD90FA74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C5578"/>
    <w:pPr>
      <w:spacing w:after="200" w:line="276" w:lineRule="auto"/>
    </w:pPr>
    <w:rPr>
      <w:rFonts w:ascii="Calibri" w:eastAsia="Calibri" w:hAnsi="Calibri" w:cs="Times New Roman"/>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tif"/><Relationship Id="rId5" Type="http://schemas.openxmlformats.org/officeDocument/2006/relationships/image" Target="media/image2.jpeg"/><Relationship Id="rId4" Type="http://schemas.openxmlformats.org/officeDocument/2006/relationships/image" Target="media/image1.pn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4</Pages>
  <Words>285</Words>
  <Characters>1626</Characters>
  <Application>Microsoft Office Word</Application>
  <DocSecurity>0</DocSecurity>
  <Lines>13</Lines>
  <Paragraphs>3</Paragraphs>
  <ScaleCrop>false</ScaleCrop>
  <Company/>
  <LinksUpToDate>false</LinksUpToDate>
  <CharactersWithSpaces>1908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Sathiyan  R</dc:creator>
  <cp:keywords/>
  <dc:description/>
  <cp:lastModifiedBy>Sathiyan  R</cp:lastModifiedBy>
  <cp:revision>1</cp:revision>
  <dcterms:created xsi:type="dcterms:W3CDTF">2025-12-24T09:12:00Z</dcterms:created>
  <dcterms:modified xsi:type="dcterms:W3CDTF">2025-12-24T09:12:00Z</dcterms:modified>
</cp:coreProperties>
</file>