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5E4C05" w:rsidR="0051053A" w:rsidP="329E9A07" w:rsidRDefault="0026765D" w14:paraId="1638E00A" w14:textId="43B3EE3F">
      <w:pPr>
        <w:rPr>
          <w:rFonts w:eastAsiaTheme="minorEastAsia"/>
          <w:b/>
          <w:bCs/>
          <w:sz w:val="22"/>
          <w:szCs w:val="22"/>
        </w:rPr>
      </w:pPr>
      <w:r w:rsidRPr="329E9A07">
        <w:rPr>
          <w:rFonts w:eastAsiaTheme="minorEastAsia"/>
          <w:b/>
          <w:bCs/>
          <w:sz w:val="22"/>
          <w:szCs w:val="22"/>
        </w:rPr>
        <w:t>Supplement</w:t>
      </w:r>
    </w:p>
    <w:p w:rsidR="0026765D" w:rsidP="329E9A07" w:rsidRDefault="0026765D" w14:paraId="530867EE" w14:textId="77777777">
      <w:pPr>
        <w:rPr>
          <w:rFonts w:eastAsiaTheme="minorEastAsia"/>
          <w:sz w:val="22"/>
          <w:szCs w:val="22"/>
        </w:rPr>
      </w:pPr>
    </w:p>
    <w:p w:rsidR="005E4C05" w:rsidP="329E9A07" w:rsidRDefault="005E4C05" w14:paraId="3C39BB31" w14:textId="1E15FB4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EastAsia" w:cstheme="minorBidi"/>
          <w:sz w:val="22"/>
          <w:szCs w:val="22"/>
        </w:rPr>
      </w:pPr>
      <w:r>
        <w:rPr>
          <w:noProof/>
        </w:rPr>
        <w:drawing>
          <wp:inline distT="0" distB="0" distL="0" distR="0" wp14:anchorId="7770C4C5" wp14:editId="29FDF23A">
            <wp:extent cx="5755644" cy="3865944"/>
            <wp:effectExtent l="0" t="0" r="0" b="0"/>
            <wp:docPr id="1301401806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5B7BBD7E-F6D9-4F1A-A1BF-8252D725E4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13" cy="390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329E9A07">
        <w:rPr>
          <w:rStyle w:val="scxw103603467"/>
          <w:rFonts w:asciiTheme="minorHAnsi" w:hAnsiTheme="minorHAnsi" w:eastAsiaTheme="minorEastAsia" w:cstheme="minorBidi"/>
          <w:sz w:val="22"/>
          <w:szCs w:val="22"/>
        </w:rPr>
        <w:t> </w:t>
      </w:r>
      <w:r>
        <w:br/>
      </w:r>
      <w:r w:rsidRPr="329E9A07">
        <w:rPr>
          <w:rStyle w:val="normaltextrun"/>
          <w:rFonts w:asciiTheme="minorHAnsi" w:hAnsiTheme="minorHAnsi" w:eastAsiaTheme="minorEastAsia" w:cstheme="minorBidi"/>
          <w:sz w:val="22"/>
          <w:szCs w:val="22"/>
          <w:lang w:val="en-US"/>
        </w:rPr>
        <w:t>Figure S1: Time difference between pneumonie und bronchiectasis onset in the POST cohort</w:t>
      </w:r>
      <w:r w:rsidRPr="329E9A07" w:rsidR="097BFEBD">
        <w:rPr>
          <w:rStyle w:val="eop"/>
          <w:rFonts w:asciiTheme="minorHAnsi" w:hAnsiTheme="minorHAnsi" w:eastAsiaTheme="minorEastAsia" w:cstheme="minorBidi"/>
          <w:sz w:val="22"/>
          <w:szCs w:val="22"/>
        </w:rPr>
        <w:t>.</w:t>
      </w:r>
    </w:p>
    <w:p w:rsidR="005E4C05" w:rsidP="329E9A07" w:rsidRDefault="005E4C05" w14:paraId="0DCF29C9" w14:textId="4C54CBC6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329E9A07">
        <w:rPr>
          <w:rStyle w:val="normaltextrun"/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>Each bar represents a patient with documented pneumonia (n = 135). Bars extending downward indicate pneumonia events occurring before the diagnosis of POST, and bars extending upward indicate events occurring after diagnosis. Patients without documented pneumonia (n = 73) are shown on the left with grey bars as placeholders. The plot demonstrates that most pneumonia events precede the onset of POST bronchiectasis, supporting a possible postinfectious etiology in a substantial proportion of cases.</w:t>
      </w:r>
    </w:p>
    <w:p w:rsidR="329E9A07" w:rsidP="329E9A07" w:rsidRDefault="329E9A07" w14:paraId="27436970" w14:textId="18879D92">
      <w:pPr>
        <w:rPr>
          <w:rFonts w:eastAsiaTheme="minorEastAsia"/>
          <w:sz w:val="22"/>
          <w:szCs w:val="22"/>
        </w:rPr>
      </w:pPr>
      <w:r w:rsidRPr="6F57DE9F">
        <w:rPr>
          <w:rFonts w:eastAsia="游ゴシック" w:eastAsiaTheme="minorEastAsia"/>
          <w:sz w:val="22"/>
          <w:szCs w:val="22"/>
        </w:rPr>
        <w:br w:type="page"/>
      </w:r>
    </w:p>
    <w:p w:rsidR="329E9A07" w:rsidP="6F57DE9F" w:rsidRDefault="329E9A07" w14:paraId="5A932662" w14:textId="74F5B796">
      <w:pPr>
        <w:pStyle w:val="paragraph"/>
        <w:spacing w:before="0" w:beforeAutospacing="off" w:after="0" w:afterAutospacing="off" w:line="259" w:lineRule="auto"/>
        <w:ind w:left="0" w:right="0"/>
        <w:jc w:val="left"/>
        <w:rPr>
          <w:rStyle w:val="eop"/>
          <w:rFonts w:ascii="Aptos" w:hAnsi="Aptos" w:eastAsia="游ゴシック" w:cs="Arial" w:asciiTheme="minorAscii" w:hAnsiTheme="minorAscii" w:eastAsiaTheme="minorEastAsia" w:cstheme="minorBidi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</w:pPr>
      <w:r w:rsidR="5605AB36">
        <w:drawing>
          <wp:inline wp14:editId="4C4B8424" wp14:anchorId="3D8DA545">
            <wp:extent cx="5762625" cy="4114800"/>
            <wp:effectExtent l="0" t="0" r="0" b="0"/>
            <wp:docPr id="73309213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99866015" name="Picture 2099866015"/>
                    <pic:cNvPicPr/>
                  </pic:nvPicPr>
                  <pic:blipFill>
                    <a:blip xmlns:r="http://schemas.openxmlformats.org/officeDocument/2006/relationships" r:embed="rId7235556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F57DE9F" w:rsidR="5605AB36">
        <w:rPr>
          <w:rStyle w:val="eop"/>
          <w:rFonts w:ascii="Aptos" w:hAnsi="Aptos" w:eastAsia="游ゴシック" w:cs="Arial" w:asciiTheme="minorAscii" w:hAnsiTheme="minorAscii" w:eastAsiaTheme="minorEastAsia" w:cstheme="minorBidi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>Figure S2: Time-dependent Cox model for incident bronchiectasis in the POST cohort.</w:t>
      </w:r>
    </w:p>
    <w:p w:rsidR="329E9A07" w:rsidP="6F57DE9F" w:rsidRDefault="329E9A07" w14:paraId="524C9C1A" w14:textId="46FF09F7">
      <w:pPr>
        <w:pStyle w:val="paragraph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Style w:val="eop"/>
          <w:rFonts w:ascii="Aptos" w:hAnsi="Aptos" w:eastAsia="游ゴシック" w:cs="Arial" w:asciiTheme="minorAscii" w:hAnsiTheme="minorAscii" w:eastAsiaTheme="minorEastAsia" w:cstheme="minorBidi"/>
          <w:noProof w:val="0"/>
          <w:color w:val="000000" w:themeColor="text1" w:themeTint="FF" w:themeShade="FF"/>
          <w:sz w:val="22"/>
          <w:szCs w:val="22"/>
          <w:lang w:val="en-US"/>
        </w:rPr>
      </w:pPr>
      <w:r w:rsidRPr="6F57DE9F" w:rsidR="5605AB36">
        <w:rPr>
          <w:rStyle w:val="eop"/>
          <w:rFonts w:ascii="Aptos" w:hAnsi="Aptos" w:eastAsia="游ゴシック" w:cs="Arial" w:asciiTheme="minorAscii" w:hAnsiTheme="minorAscii" w:eastAsiaTheme="minorEastAsia" w:cstheme="minorBidi"/>
          <w:noProof w:val="0"/>
          <w:color w:val="000000" w:themeColor="text1" w:themeTint="FF" w:themeShade="FF"/>
          <w:sz w:val="22"/>
          <w:szCs w:val="22"/>
          <w:lang w:val="en-US"/>
        </w:rPr>
        <w:t>The two-colored line indicates the median time to first bronchiectasis (t0 = 13.2 months). Before t0, survival is identical for all patients. After t0, the model contrasts patients without bronchiectasis (blue) with a counterfactual scenario where all develop bronchiectasis (red), showing worse survival associated with bronchiectasis (HR = 2.22; 95 % CI 1.71–2.87; p&lt;0.001).</w:t>
      </w:r>
    </w:p>
    <w:p w:rsidR="329E9A07" w:rsidP="6F57DE9F" w:rsidRDefault="329E9A07" w14:paraId="610AAB4E" w14:textId="03513340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/>
          <w:sz w:val="22"/>
          <w:szCs w:val="22"/>
        </w:rPr>
      </w:pPr>
    </w:p>
    <w:p w:rsidR="329E9A07" w:rsidP="6F57DE9F" w:rsidRDefault="329E9A07" w14:paraId="1B5262B5" w14:textId="4D506842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/>
          <w:sz w:val="22"/>
          <w:szCs w:val="22"/>
        </w:rPr>
      </w:pPr>
    </w:p>
    <w:p w:rsidR="6F57DE9F" w:rsidP="6F57DE9F" w:rsidRDefault="6F57DE9F" w14:paraId="6AEE2083" w14:textId="4B69D522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49EAC536" w14:textId="3FA242FE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6C38463F" w14:textId="506B49C7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521B4DD9" w14:textId="502F9203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6361EBCB" w14:textId="34D38DE8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39205B19" w14:textId="7BCDE003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541C237C" w14:textId="343ED462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771CE809" w14:textId="3AB0BDFB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44B9CDCF" w14:textId="15AA2418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0374E3D6" w14:textId="549AE3F6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39E5F219" w14:textId="6682BC1D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3307D193" w14:textId="647D29FE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5610C642" w14:textId="2F94B6AB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25020A25" w14:textId="482238FE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27F4AF96" w14:textId="1E2BC254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4CE2230F" w14:textId="7C88ACE2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569B5073" w14:textId="7BA23895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428544A5" w14:textId="54C8FCB5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193B2BAA" w14:textId="37B5DA29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6E04E7BC" w14:textId="5A4BA99B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6F57DE9F" w:rsidP="6F57DE9F" w:rsidRDefault="6F57DE9F" w14:paraId="361AB68F" w14:textId="74853D58">
      <w:pPr>
        <w:pStyle w:val="paragraph"/>
        <w:spacing w:before="0" w:beforeAutospacing="off" w:after="0" w:afterAutospacing="off"/>
        <w:rPr>
          <w:rStyle w:val="eop"/>
          <w:rFonts w:ascii="Aptos" w:hAnsi="Aptos" w:eastAsia="游ゴシック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</w:p>
    <w:p w:rsidR="329E9A07" w:rsidP="329E9A07" w:rsidRDefault="329E9A07" w14:paraId="503FD285" w14:textId="7C46DED5">
      <w:pPr>
        <w:pStyle w:val="paragraph"/>
        <w:spacing w:before="0" w:beforeAutospacing="0" w:after="0" w:afterAutospacing="0"/>
        <w:rPr>
          <w:rStyle w:val="eop"/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</w:p>
    <w:tbl>
      <w:tblPr>
        <w:tblW w:w="0" w:type="auto"/>
        <w:tblInd w:w="-135" w:type="dxa"/>
        <w:tblLook w:val="06A0" w:firstRow="1" w:lastRow="0" w:firstColumn="1" w:lastColumn="0" w:noHBand="1" w:noVBand="1"/>
      </w:tblPr>
      <w:tblGrid>
        <w:gridCol w:w="2659"/>
        <w:gridCol w:w="1149"/>
        <w:gridCol w:w="1334"/>
        <w:gridCol w:w="719"/>
        <w:gridCol w:w="1326"/>
        <w:gridCol w:w="1417"/>
        <w:gridCol w:w="603"/>
      </w:tblGrid>
      <w:tr w:rsidR="329E9A07" w:rsidTr="329E9A07" w14:paraId="2CF5BB69" w14:textId="77777777">
        <w:trPr>
          <w:trHeight w:val="300"/>
        </w:trPr>
        <w:tc>
          <w:tcPr>
            <w:tcW w:w="1061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4A552B39" w14:textId="2B2F2A80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Treatment overall</w:t>
            </w:r>
          </w:p>
        </w:tc>
      </w:tr>
      <w:tr w:rsidR="329E9A07" w:rsidTr="329E9A07" w14:paraId="2A76DC18" w14:textId="77777777">
        <w:trPr>
          <w:trHeight w:val="300"/>
        </w:trPr>
        <w:tc>
          <w:tcPr>
            <w:tcW w:w="312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4643AED0" w14:textId="0E3073F1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6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75E6CBFA" w14:textId="0D0E7D44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Bronchiectasis</w:t>
            </w:r>
          </w:p>
        </w:tc>
        <w:tc>
          <w:tcPr>
            <w:tcW w:w="38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38437111" w14:textId="1379A47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Controls</w:t>
            </w:r>
          </w:p>
        </w:tc>
      </w:tr>
      <w:tr w:rsidR="329E9A07" w:rsidTr="329E9A07" w14:paraId="72D61CE8" w14:textId="7777777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68249C13" w14:textId="5FD6E3B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4862355E" w14:textId="68BA1D6B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PRE (n=364)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5F5BAB97" w14:textId="22AA7F76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POST (n=208)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1CD7C11E" w14:textId="57B201A5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3C53289C" w14:textId="77ED5D0A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PRE (n=364)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0A2D882F" w14:textId="1EAFCF3B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POST (n=208)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48EA6E02" w14:textId="7EDFCEF7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p</w:t>
            </w:r>
          </w:p>
        </w:tc>
      </w:tr>
      <w:tr w:rsidR="329E9A07" w:rsidTr="329E9A07" w14:paraId="33D3FBD7" w14:textId="7777777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5624C161" w14:textId="77A60E0C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atypical/wedge resection</w:t>
            </w:r>
            <w:r w:rsidRPr="630258D8" w:rsidR="4E6267A9">
              <w:rPr>
                <w:rFonts w:eastAsiaTheme="minorEastAsia"/>
                <w:color w:val="000000" w:themeColor="text1"/>
                <w:sz w:val="20"/>
                <w:szCs w:val="20"/>
              </w:rPr>
              <w:t>,</w:t>
            </w: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n(%)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1C5A439B" w14:textId="2F5A4A50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32 (8.8%)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1B58CAEE" w14:textId="1B5F0F1B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47 (22.6%)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37690F1C" w14:textId="4FBB6B40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38578922" w14:textId="6BBF960C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34 (9.3%)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1F5460EB" w14:textId="476B7C09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23 (11.1%)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40436ED7" w14:textId="32BAAE78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0.51</w:t>
            </w:r>
          </w:p>
        </w:tc>
      </w:tr>
      <w:tr w:rsidR="329E9A07" w:rsidTr="329E9A07" w14:paraId="73D49B65" w14:textId="7777777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1055AD2F" w14:textId="4991472B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Anatomic resection</w:t>
            </w:r>
            <w:r w:rsidRPr="630258D8" w:rsidR="393952EC">
              <w:rPr>
                <w:rFonts w:eastAsiaTheme="minorEastAsia"/>
                <w:color w:val="000000" w:themeColor="text1"/>
                <w:sz w:val="20"/>
                <w:szCs w:val="20"/>
              </w:rPr>
              <w:t>,</w:t>
            </w: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n(%)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1E7B65D4" w14:textId="6C977B72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104 (28.6%)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1430DB7E" w14:textId="16DBF605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75 (36.1%)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09EFD482" w14:textId="2F4AF470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0.063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0E1446AB" w14:textId="177462E9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100 (27.5%)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77AE1738" w14:textId="422178B0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70 (33.7%)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071B896D" w14:textId="6F27138B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0.12</w:t>
            </w:r>
          </w:p>
        </w:tc>
      </w:tr>
      <w:tr w:rsidR="329E9A07" w:rsidTr="329E9A07" w14:paraId="7A1C1374" w14:textId="7777777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77B0C319" w14:textId="53E5A7D7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Radiotherapy</w:t>
            </w:r>
            <w:r w:rsidRPr="630258D8" w:rsidR="54932197">
              <w:rPr>
                <w:rFonts w:eastAsiaTheme="minorEastAsia"/>
                <w:color w:val="000000" w:themeColor="text1"/>
                <w:sz w:val="20"/>
                <w:szCs w:val="20"/>
              </w:rPr>
              <w:t>,</w:t>
            </w: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n(%)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692097C2" w14:textId="48CF7F9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141 (38.7%)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5D6C5088" w14:textId="3BB63FE2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112 (53.8%)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79E6CDB1" w14:textId="2339EBCC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0BDE9516" w14:textId="74DB138B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158 (43.4%)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250838E7" w14:textId="63C9424D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105 (50.5%)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5FA23F9C" w14:textId="472E9E80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0.102</w:t>
            </w:r>
          </w:p>
        </w:tc>
      </w:tr>
      <w:tr w:rsidR="329E9A07" w:rsidTr="329E9A07" w14:paraId="2763BB5E" w14:textId="7777777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7FD0020E" w14:textId="002B5C03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Systemic therapy. n(%)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2C88DECE" w14:textId="3E19185D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181 (49.7%)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7ABE5D6D" w14:textId="7D655399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132 (63.5%)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20AD5E77" w14:textId="3E37509E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3275AE31" w14:textId="15432554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183 (50.3%)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46314590" w14:textId="0E0DF693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131 (63.0%)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274DDEF5" w14:textId="196BA4B8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329E9A07" w:rsidTr="329E9A07" w14:paraId="7F685244" w14:textId="77777777">
        <w:trPr>
          <w:trHeight w:val="300"/>
        </w:trPr>
        <w:tc>
          <w:tcPr>
            <w:tcW w:w="1061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6878429B" w14:textId="5DBCE5C6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Treatment initial</w:t>
            </w:r>
          </w:p>
        </w:tc>
      </w:tr>
      <w:tr w:rsidR="329E9A07" w:rsidTr="329E9A07" w14:paraId="23680CF7" w14:textId="77777777">
        <w:trPr>
          <w:trHeight w:val="300"/>
        </w:trPr>
        <w:tc>
          <w:tcPr>
            <w:tcW w:w="312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27729937" w14:textId="1D41B173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atypical/wedge resection</w:t>
            </w:r>
            <w:r w:rsidRPr="630258D8" w:rsidR="688D409B">
              <w:rPr>
                <w:rFonts w:eastAsiaTheme="minorEastAsia"/>
                <w:color w:val="000000" w:themeColor="text1"/>
                <w:sz w:val="20"/>
                <w:szCs w:val="20"/>
              </w:rPr>
              <w:t>,</w:t>
            </w: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n(%)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33D5851D" w14:textId="4910E10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29 (8.0%)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5A0463C5" w14:textId="61AC7527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33 (15.9%)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75A6A5D2" w14:textId="1E696D1E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0.00</w:t>
            </w:r>
            <w:r w:rsidRPr="630258D8" w:rsidR="51244818">
              <w:rPr>
                <w:rFonts w:eastAsiaTheme="minor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069DC526" w14:textId="3263B29C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29 (8.0%)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752FEA97" w14:textId="43B616A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13 (6.3%)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76E79D8A" w14:textId="75B87E11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0.449</w:t>
            </w:r>
          </w:p>
        </w:tc>
      </w:tr>
      <w:tr w:rsidR="329E9A07" w:rsidTr="329E9A07" w14:paraId="184CA289" w14:textId="7777777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6A783ABA" w14:textId="606F3C1A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Anatomic resection</w:t>
            </w:r>
            <w:r w:rsidRPr="630258D8" w:rsidR="59DDF68B">
              <w:rPr>
                <w:rFonts w:eastAsiaTheme="minorEastAsia"/>
                <w:color w:val="000000" w:themeColor="text1"/>
                <w:sz w:val="20"/>
                <w:szCs w:val="20"/>
              </w:rPr>
              <w:t>,</w:t>
            </w: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n(%)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79CA095D" w14:textId="756439C6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89 (24.5%)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2A98AD51" w14:textId="400BE36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55 (26.4%)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283E3661" w14:textId="31A2770E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0.589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6E901472" w14:textId="119DA1EF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80 (22.0%)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37634861" w14:textId="437974BA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54 (26.0%)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5102B24D" w14:textId="1F80F2E6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0.279</w:t>
            </w:r>
          </w:p>
        </w:tc>
      </w:tr>
      <w:tr w:rsidR="329E9A07" w:rsidTr="329E9A07" w14:paraId="47B086F9" w14:textId="7777777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05AF6142" w14:textId="11FB220E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Radiotherapy</w:t>
            </w:r>
            <w:r w:rsidRPr="630258D8" w:rsidR="5C17CE41">
              <w:rPr>
                <w:rFonts w:eastAsiaTheme="minorEastAsia"/>
                <w:color w:val="000000" w:themeColor="text1"/>
                <w:sz w:val="20"/>
                <w:szCs w:val="20"/>
              </w:rPr>
              <w:t>,</w:t>
            </w: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n(%)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47332321" w14:textId="17DF9220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63 (17.3%)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44A88DCE" w14:textId="197794B1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45 (21.6%)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31A12D2E" w14:textId="53E66DFC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0.203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5DB0D395" w14:textId="6CF7B9D8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71 (19.5%)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086D6BC8" w14:textId="203D7853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41 (19.7%)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2E8AECB8" w14:textId="29540844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0.952</w:t>
            </w:r>
          </w:p>
        </w:tc>
      </w:tr>
      <w:tr w:rsidR="329E9A07" w:rsidTr="329E9A07" w14:paraId="24913BF7" w14:textId="77777777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5647C54C" w14:textId="5A277672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Systemic therapy</w:t>
            </w:r>
            <w:r w:rsidRPr="630258D8" w:rsidR="29FDBE5A">
              <w:rPr>
                <w:rFonts w:eastAsiaTheme="minorEastAsia"/>
                <w:color w:val="000000" w:themeColor="text1"/>
                <w:sz w:val="20"/>
                <w:szCs w:val="20"/>
              </w:rPr>
              <w:t>,</w:t>
            </w: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n(%)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647AA00E" w14:textId="51986691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118 (32.4%)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19EF7180" w14:textId="706F6C4D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94 (45.2%)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2B71D0CD" w14:textId="5D1CAF79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35C4C9CB" w14:textId="0EBD23A5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139 (38.2%)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02C31812" w14:textId="7DAA9B5D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101 (48.6%)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29E9A07" w:rsidP="329E9A07" w:rsidRDefault="329E9A07" w14:paraId="797E7F99" w14:textId="6269C570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630258D8">
              <w:rPr>
                <w:rFonts w:eastAsiaTheme="minorEastAsia"/>
                <w:color w:val="000000" w:themeColor="text1"/>
                <w:sz w:val="20"/>
                <w:szCs w:val="20"/>
              </w:rPr>
              <w:t>0.016</w:t>
            </w:r>
          </w:p>
        </w:tc>
      </w:tr>
    </w:tbl>
    <w:p w:rsidR="0802C090" w:rsidP="329E9A07" w:rsidRDefault="0802C090" w14:paraId="45200B17" w14:textId="172DEE72">
      <w:pPr>
        <w:pStyle w:val="paragraph"/>
        <w:spacing w:before="0" w:beforeAutospacing="0" w:after="0" w:afterAutospacing="0"/>
        <w:rPr>
          <w:rStyle w:val="eop"/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</w:pPr>
      <w:r w:rsidRPr="329E9A07">
        <w:rPr>
          <w:rStyle w:val="eop"/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>Tables S1: Comparison between</w:t>
      </w:r>
      <w:r w:rsidRPr="329E9A07" w:rsidR="0003FC91">
        <w:rPr>
          <w:rStyle w:val="eop"/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PRE and POST</w:t>
      </w:r>
      <w:r w:rsidRPr="329E9A07">
        <w:rPr>
          <w:rStyle w:val="eop"/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overall and initial treatment</w:t>
      </w:r>
      <w:r w:rsidRPr="329E9A07" w:rsidR="4265E028">
        <w:rPr>
          <w:rStyle w:val="eop"/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</w:t>
      </w:r>
      <w:r w:rsidRPr="329E9A07" w:rsidR="56C38C05">
        <w:rPr>
          <w:rStyle w:val="eop"/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for bronchiectasis and controls. </w:t>
      </w:r>
      <w:r w:rsidRPr="18C07418" w:rsidR="6E0EA606">
        <w:rPr>
          <w:rStyle w:val="eop"/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>PRE bronchiectasis: bronchiectasis diagnosed at the time of lung cancer diagnosis; PRE control: no bronchiectasis diagnosed at the time of lung cancer diagnosis; POST bronchiectasis: bronchiectasis diagnosed after lung cancer diagnosis; POST control: no bronchiectasis diagnosed after lung cancer diagnosis.</w:t>
      </w:r>
      <w:r w:rsidRPr="18C07418" w:rsidR="0043243B">
        <w:rPr>
          <w:rStyle w:val="eop"/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</w:t>
      </w:r>
      <w:r>
        <w:br/>
      </w:r>
    </w:p>
    <w:p w:rsidR="0026765D" w:rsidP="6F57DE9F" w:rsidRDefault="0026765D" w14:paraId="6F69DDD4" w14:textId="77777777">
      <w:pPr>
        <w:rPr>
          <w:rFonts w:eastAsia="游ゴシック" w:eastAsiaTheme="minorEastAsia"/>
          <w:sz w:val="22"/>
          <w:szCs w:val="22"/>
        </w:rPr>
      </w:pPr>
    </w:p>
    <w:p w:rsidR="6F57DE9F" w:rsidP="6F57DE9F" w:rsidRDefault="6F57DE9F" w14:paraId="7FE8B3F6" w14:textId="29EAF9EA">
      <w:pPr>
        <w:rPr>
          <w:rFonts w:eastAsia="游ゴシック" w:eastAsiaTheme="minorEastAsia"/>
          <w:sz w:val="22"/>
          <w:szCs w:val="22"/>
        </w:rPr>
      </w:pPr>
    </w:p>
    <w:sectPr w:rsidR="0026765D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814"/>
    <w:rsid w:val="0003FC91"/>
    <w:rsid w:val="00262796"/>
    <w:rsid w:val="0026765D"/>
    <w:rsid w:val="002E1577"/>
    <w:rsid w:val="00413860"/>
    <w:rsid w:val="0043243B"/>
    <w:rsid w:val="004A10A4"/>
    <w:rsid w:val="0051053A"/>
    <w:rsid w:val="00547C37"/>
    <w:rsid w:val="005E4C05"/>
    <w:rsid w:val="006102A7"/>
    <w:rsid w:val="00873076"/>
    <w:rsid w:val="009A4814"/>
    <w:rsid w:val="00A1227A"/>
    <w:rsid w:val="00A96C91"/>
    <w:rsid w:val="00D440D3"/>
    <w:rsid w:val="00F43645"/>
    <w:rsid w:val="00F95433"/>
    <w:rsid w:val="01474A29"/>
    <w:rsid w:val="03D61384"/>
    <w:rsid w:val="045B0EDB"/>
    <w:rsid w:val="047442EF"/>
    <w:rsid w:val="0802C090"/>
    <w:rsid w:val="097BFEBD"/>
    <w:rsid w:val="11E7BBB7"/>
    <w:rsid w:val="18C07418"/>
    <w:rsid w:val="1DC20324"/>
    <w:rsid w:val="1E97DD43"/>
    <w:rsid w:val="1FF3A002"/>
    <w:rsid w:val="20349A60"/>
    <w:rsid w:val="210B67D2"/>
    <w:rsid w:val="2920CB0C"/>
    <w:rsid w:val="29FDBE5A"/>
    <w:rsid w:val="2E9B5773"/>
    <w:rsid w:val="327D2954"/>
    <w:rsid w:val="329E9A07"/>
    <w:rsid w:val="35121828"/>
    <w:rsid w:val="3571EFF1"/>
    <w:rsid w:val="393952EC"/>
    <w:rsid w:val="4265E028"/>
    <w:rsid w:val="47E1BBF6"/>
    <w:rsid w:val="4A4BFE82"/>
    <w:rsid w:val="4BB2A8DC"/>
    <w:rsid w:val="4C84772E"/>
    <w:rsid w:val="4E6267A9"/>
    <w:rsid w:val="51244818"/>
    <w:rsid w:val="54932197"/>
    <w:rsid w:val="5605AB36"/>
    <w:rsid w:val="56C38C05"/>
    <w:rsid w:val="59DDF68B"/>
    <w:rsid w:val="5C17CE41"/>
    <w:rsid w:val="6091B835"/>
    <w:rsid w:val="61AE8DC4"/>
    <w:rsid w:val="630258D8"/>
    <w:rsid w:val="65C1ECCA"/>
    <w:rsid w:val="688D409B"/>
    <w:rsid w:val="6E0EA606"/>
    <w:rsid w:val="6E1B0926"/>
    <w:rsid w:val="6F57DE9F"/>
    <w:rsid w:val="725CB59D"/>
    <w:rsid w:val="75B98FA1"/>
    <w:rsid w:val="776DF354"/>
    <w:rsid w:val="79EA4F4E"/>
    <w:rsid w:val="7A91F17D"/>
    <w:rsid w:val="7C6C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E02FD0"/>
  <w15:chartTrackingRefBased/>
  <w15:docId w15:val="{FE67E901-9C96-43AA-A72E-4F1E7091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81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81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8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8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8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8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A481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A481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A481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A481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A481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A481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A481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A481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A48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814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A481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8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A4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814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A48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8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8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81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A48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814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5E4C05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de-DE"/>
      <w14:ligatures w14:val="none"/>
    </w:rPr>
  </w:style>
  <w:style w:type="character" w:styleId="scxw103603467" w:customStyle="1">
    <w:name w:val="scxw103603467"/>
    <w:basedOn w:val="DefaultParagraphFont"/>
    <w:rsid w:val="005E4C05"/>
  </w:style>
  <w:style w:type="character" w:styleId="wacimagecontainer" w:customStyle="1">
    <w:name w:val="wacimagecontainer"/>
    <w:basedOn w:val="DefaultParagraphFont"/>
    <w:rsid w:val="005E4C05"/>
  </w:style>
  <w:style w:type="character" w:styleId="normaltextrun" w:customStyle="1">
    <w:name w:val="normaltextrun"/>
    <w:basedOn w:val="DefaultParagraphFont"/>
    <w:rsid w:val="005E4C05"/>
  </w:style>
  <w:style w:type="character" w:styleId="eop" w:customStyle="1">
    <w:name w:val="eop"/>
    <w:basedOn w:val="DefaultParagraphFont"/>
    <w:rsid w:val="005E4C05"/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Relationship Type="http://schemas.openxmlformats.org/officeDocument/2006/relationships/image" Target="/media/image.tiff" Id="rId723555650" /></Relationships>
</file>

<file path=word/theme/theme1.xml><?xml version="1.0" encoding="utf-8"?>
<a:theme xmlns:a="http://schemas.openxmlformats.org/drawingml/2006/main" xmlns:thm15="http://schemas.microsoft.com/office/thememl/2012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Jeremias Götschke</dc:creator>
  <keywords/>
  <dc:description/>
  <lastModifiedBy>Jeremias Götschke</lastModifiedBy>
  <revision>6</revision>
  <dcterms:created xsi:type="dcterms:W3CDTF">2025-11-11T14:37:00.0000000Z</dcterms:created>
  <dcterms:modified xsi:type="dcterms:W3CDTF">2025-11-24T12:47:50.8138525Z</dcterms:modified>
</coreProperties>
</file>