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A8EA" w14:textId="19EADAC8" w:rsidR="004C3EA5" w:rsidRPr="00D212F9" w:rsidRDefault="006276F0" w:rsidP="007855BD">
      <w:pPr>
        <w:jc w:val="center"/>
        <w:rPr>
          <w:rFonts w:ascii="Times New Roman" w:hAnsi="Times New Roman" w:cs="Times New Roman"/>
          <w:b/>
          <w:bCs/>
          <w:sz w:val="28"/>
          <w:szCs w:val="28"/>
          <w:lang w:val="en-US"/>
        </w:rPr>
      </w:pPr>
      <w:r w:rsidRPr="00D212F9">
        <w:rPr>
          <w:rFonts w:ascii="Times New Roman" w:hAnsi="Times New Roman" w:cs="Times New Roman"/>
          <w:b/>
          <w:bCs/>
          <w:sz w:val="28"/>
          <w:szCs w:val="28"/>
          <w:lang w:val="en-US"/>
        </w:rPr>
        <w:t>Supplementary Information</w:t>
      </w:r>
    </w:p>
    <w:p w14:paraId="5FDC2E49" w14:textId="77777777" w:rsidR="00D3597A" w:rsidRPr="00A056A6" w:rsidRDefault="00D3597A" w:rsidP="00D3597A">
      <w:pPr>
        <w:spacing w:line="240" w:lineRule="auto"/>
        <w:jc w:val="center"/>
        <w:rPr>
          <w:rFonts w:ascii="Times New Roman" w:eastAsia="Arial" w:hAnsi="Times New Roman" w:cs="Times New Roman"/>
          <w:b/>
          <w:color w:val="000000" w:themeColor="text1"/>
          <w:sz w:val="24"/>
          <w:szCs w:val="24"/>
        </w:rPr>
      </w:pPr>
      <w:bookmarkStart w:id="0" w:name="_Hlk195950390"/>
      <w:bookmarkStart w:id="1" w:name="_Hlk212531156"/>
      <w:r w:rsidRPr="00A056A6">
        <w:rPr>
          <w:rFonts w:ascii="Times New Roman" w:eastAsia="Arial" w:hAnsi="Times New Roman" w:cs="Times New Roman"/>
          <w:b/>
          <w:color w:val="000000" w:themeColor="text1"/>
          <w:sz w:val="24"/>
          <w:szCs w:val="24"/>
        </w:rPr>
        <w:t>What’s in a Name? Metabolite Identification Challenges and Pitfalls in Untargeted Metabolomics.</w:t>
      </w:r>
    </w:p>
    <w:bookmarkEnd w:id="0"/>
    <w:bookmarkEnd w:id="1"/>
    <w:p w14:paraId="46863D94" w14:textId="77777777" w:rsidR="00D3597A" w:rsidRPr="00AB7228" w:rsidRDefault="00D3597A" w:rsidP="00D3597A">
      <w:pPr>
        <w:spacing w:line="240" w:lineRule="auto"/>
        <w:rPr>
          <w:rFonts w:ascii="Times New Roman" w:eastAsia="Arial" w:hAnsi="Times New Roman" w:cs="Times New Roman"/>
          <w:sz w:val="24"/>
          <w:szCs w:val="24"/>
        </w:rPr>
      </w:pPr>
      <w:r w:rsidRPr="00AB7228">
        <w:rPr>
          <w:rFonts w:ascii="Times New Roman" w:eastAsia="Arial" w:hAnsi="Times New Roman" w:cs="Times New Roman"/>
          <w:sz w:val="24"/>
          <w:szCs w:val="24"/>
        </w:rPr>
        <w:t>Georgios Theodoridis</w:t>
      </w:r>
      <w:r w:rsidRPr="00AB7228">
        <w:rPr>
          <w:rFonts w:ascii="Times New Roman" w:eastAsia="Arial" w:hAnsi="Times New Roman" w:cs="Times New Roman"/>
          <w:sz w:val="24"/>
          <w:szCs w:val="24"/>
          <w:vertAlign w:val="superscript"/>
        </w:rPr>
        <w:t>1,2</w:t>
      </w:r>
      <w:r w:rsidRPr="00AB7228">
        <w:rPr>
          <w:rFonts w:ascii="Times New Roman" w:eastAsia="Arial" w:hAnsi="Times New Roman" w:cs="Times New Roman"/>
          <w:sz w:val="24"/>
          <w:szCs w:val="24"/>
        </w:rPr>
        <w:t>, Oliver Fiehn</w:t>
      </w:r>
      <w:r w:rsidRPr="00AB7228">
        <w:rPr>
          <w:rFonts w:ascii="Times New Roman" w:eastAsia="Arial" w:hAnsi="Times New Roman" w:cs="Times New Roman"/>
          <w:sz w:val="24"/>
          <w:szCs w:val="24"/>
          <w:vertAlign w:val="superscript"/>
        </w:rPr>
        <w:t>3</w:t>
      </w:r>
      <w:r w:rsidRPr="00AB7228">
        <w:rPr>
          <w:rFonts w:ascii="Times New Roman" w:eastAsia="Arial" w:hAnsi="Times New Roman" w:cs="Times New Roman"/>
          <w:sz w:val="24"/>
          <w:szCs w:val="24"/>
        </w:rPr>
        <w:t>, Michal Holčapek</w:t>
      </w:r>
      <w:r w:rsidRPr="00AB7228">
        <w:rPr>
          <w:rFonts w:ascii="Times New Roman" w:eastAsia="Arial" w:hAnsi="Times New Roman" w:cs="Times New Roman"/>
          <w:sz w:val="24"/>
          <w:szCs w:val="24"/>
          <w:vertAlign w:val="superscript"/>
        </w:rPr>
        <w:t>4</w:t>
      </w:r>
      <w:r w:rsidRPr="00AB7228">
        <w:rPr>
          <w:rFonts w:ascii="Times New Roman" w:eastAsia="Arial" w:hAnsi="Times New Roman" w:cs="Times New Roman"/>
          <w:sz w:val="24"/>
          <w:szCs w:val="24"/>
        </w:rPr>
        <w:t>, Royston Goodacre</w:t>
      </w:r>
      <w:r w:rsidRPr="00AB7228">
        <w:rPr>
          <w:rFonts w:ascii="Times New Roman" w:eastAsia="Arial" w:hAnsi="Times New Roman" w:cs="Times New Roman"/>
          <w:sz w:val="24"/>
          <w:szCs w:val="24"/>
          <w:vertAlign w:val="superscript"/>
        </w:rPr>
        <w:t>5</w:t>
      </w:r>
      <w:r w:rsidRPr="00AB7228">
        <w:rPr>
          <w:rFonts w:ascii="Times New Roman" w:eastAsia="Arial" w:hAnsi="Times New Roman" w:cs="Times New Roman"/>
          <w:sz w:val="24"/>
          <w:szCs w:val="24"/>
        </w:rPr>
        <w:t>, Daniel Raftery</w:t>
      </w:r>
      <w:r w:rsidRPr="00AB7228">
        <w:rPr>
          <w:rFonts w:ascii="Times New Roman" w:eastAsia="Arial" w:hAnsi="Times New Roman" w:cs="Times New Roman"/>
          <w:sz w:val="24"/>
          <w:szCs w:val="24"/>
          <w:vertAlign w:val="superscript"/>
        </w:rPr>
        <w:t>6</w:t>
      </w:r>
      <w:r w:rsidRPr="00AB7228">
        <w:rPr>
          <w:rFonts w:ascii="Times New Roman" w:eastAsia="Arial" w:hAnsi="Times New Roman" w:cs="Times New Roman"/>
          <w:sz w:val="24"/>
          <w:szCs w:val="24"/>
        </w:rPr>
        <w:t>, Robert Plumb</w:t>
      </w:r>
      <w:r w:rsidRPr="00AB7228">
        <w:rPr>
          <w:rFonts w:ascii="Times New Roman" w:eastAsia="Arial" w:hAnsi="Times New Roman" w:cs="Times New Roman"/>
          <w:sz w:val="24"/>
          <w:szCs w:val="24"/>
          <w:vertAlign w:val="superscript"/>
        </w:rPr>
        <w:t>7</w:t>
      </w:r>
      <w:r w:rsidRPr="00AB7228">
        <w:rPr>
          <w:rFonts w:ascii="Times New Roman" w:eastAsia="Arial" w:hAnsi="Times New Roman" w:cs="Times New Roman"/>
          <w:sz w:val="24"/>
          <w:szCs w:val="24"/>
        </w:rPr>
        <w:t>,  Timothy M D Ebbels</w:t>
      </w:r>
      <w:r w:rsidRPr="00AB7228">
        <w:rPr>
          <w:rFonts w:ascii="Times New Roman" w:eastAsia="Arial" w:hAnsi="Times New Roman" w:cs="Times New Roman"/>
          <w:sz w:val="24"/>
          <w:szCs w:val="24"/>
          <w:vertAlign w:val="superscript"/>
        </w:rPr>
        <w:t>8</w:t>
      </w:r>
      <w:r w:rsidRPr="00AB7228">
        <w:rPr>
          <w:rFonts w:ascii="Times New Roman" w:eastAsia="Arial" w:hAnsi="Times New Roman" w:cs="Times New Roman"/>
          <w:sz w:val="24"/>
          <w:szCs w:val="24"/>
        </w:rPr>
        <w:t>,</w:t>
      </w:r>
      <w:r>
        <w:rPr>
          <w:rFonts w:ascii="Times New Roman" w:eastAsia="Arial" w:hAnsi="Times New Roman" w:cs="Times New Roman"/>
          <w:sz w:val="24"/>
          <w:szCs w:val="24"/>
          <w:vertAlign w:val="subscript"/>
        </w:rPr>
        <w:t xml:space="preserve"> </w:t>
      </w:r>
      <w:r w:rsidRPr="00AB7228">
        <w:rPr>
          <w:rFonts w:ascii="Times New Roman" w:eastAsia="Arial" w:hAnsi="Times New Roman" w:cs="Times New Roman"/>
          <w:sz w:val="24"/>
          <w:szCs w:val="24"/>
        </w:rPr>
        <w:t>Michael Witting</w:t>
      </w:r>
      <w:r w:rsidRPr="00AB7228">
        <w:rPr>
          <w:rFonts w:ascii="Times New Roman" w:eastAsia="Arial" w:hAnsi="Times New Roman" w:cs="Times New Roman"/>
          <w:sz w:val="24"/>
          <w:szCs w:val="24"/>
          <w:vertAlign w:val="superscript"/>
        </w:rPr>
        <w:t>9,10</w:t>
      </w:r>
      <w:r w:rsidRPr="00AB7228">
        <w:rPr>
          <w:rFonts w:ascii="Times New Roman" w:eastAsia="Arial" w:hAnsi="Times New Roman" w:cs="Times New Roman"/>
          <w:sz w:val="24"/>
          <w:szCs w:val="24"/>
        </w:rPr>
        <w:t>, Helen Gika</w:t>
      </w:r>
      <w:r w:rsidRPr="00AB7228">
        <w:rPr>
          <w:rFonts w:ascii="Times New Roman" w:eastAsia="Arial" w:hAnsi="Times New Roman" w:cs="Times New Roman"/>
          <w:sz w:val="24"/>
          <w:szCs w:val="24"/>
          <w:vertAlign w:val="superscript"/>
        </w:rPr>
        <w:t>2,11</w:t>
      </w:r>
      <w:r w:rsidRPr="00AB7228">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Pr>
          <w:rFonts w:ascii="Times New Roman" w:eastAsia="Arial" w:hAnsi="Times New Roman" w:cs="Times New Roman"/>
          <w:sz w:val="24"/>
          <w:szCs w:val="24"/>
          <w:vertAlign w:val="subscript"/>
        </w:rPr>
        <w:t xml:space="preserve"> </w:t>
      </w:r>
      <w:r w:rsidRPr="00AB7228">
        <w:rPr>
          <w:rFonts w:ascii="Times New Roman" w:eastAsia="Arial" w:hAnsi="Times New Roman" w:cs="Times New Roman"/>
          <w:sz w:val="24"/>
          <w:szCs w:val="24"/>
        </w:rPr>
        <w:t>Ian D Wilson</w:t>
      </w:r>
      <w:r w:rsidRPr="00AB7228">
        <w:rPr>
          <w:rFonts w:ascii="Times New Roman" w:eastAsia="Arial" w:hAnsi="Times New Roman" w:cs="Times New Roman"/>
          <w:sz w:val="24"/>
          <w:szCs w:val="24"/>
          <w:vertAlign w:val="superscript"/>
        </w:rPr>
        <w:t>5,12*</w:t>
      </w:r>
    </w:p>
    <w:p w14:paraId="26F51F13" w14:textId="77777777" w:rsidR="00D3597A" w:rsidRPr="00AB7228" w:rsidRDefault="00D3597A" w:rsidP="00D3597A">
      <w:pPr>
        <w:spacing w:line="240" w:lineRule="auto"/>
        <w:rPr>
          <w:rFonts w:ascii="Times New Roman" w:eastAsia="Arial" w:hAnsi="Times New Roman" w:cs="Times New Roman"/>
          <w:sz w:val="24"/>
          <w:szCs w:val="24"/>
        </w:rPr>
      </w:pPr>
    </w:p>
    <w:p w14:paraId="24B5DA3F"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 xml:space="preserve">1 </w:t>
      </w:r>
      <w:r w:rsidRPr="00AB7228">
        <w:rPr>
          <w:rFonts w:ascii="Times New Roman" w:eastAsia="Arial" w:hAnsi="Times New Roman" w:cs="Times New Roman"/>
          <w:color w:val="FF0000"/>
          <w:sz w:val="24"/>
          <w:szCs w:val="24"/>
          <w:vertAlign w:val="superscript"/>
        </w:rPr>
        <w:t xml:space="preserve"> </w:t>
      </w:r>
      <w:r w:rsidRPr="00AB7228">
        <w:rPr>
          <w:rFonts w:ascii="Times New Roman" w:eastAsia="Arial" w:hAnsi="Times New Roman" w:cs="Times New Roman"/>
          <w:sz w:val="24"/>
          <w:szCs w:val="24"/>
        </w:rPr>
        <w:t>Department of Chemistry, Aristotle University of Thessaloniki, Thessaloniki 54124, Greece</w:t>
      </w:r>
    </w:p>
    <w:p w14:paraId="6F825B28"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 xml:space="preserve">2 </w:t>
      </w:r>
      <w:r w:rsidRPr="00AB7228">
        <w:rPr>
          <w:rFonts w:ascii="Times New Roman" w:eastAsia="Arial" w:hAnsi="Times New Roman" w:cs="Times New Roman"/>
          <w:sz w:val="24"/>
          <w:szCs w:val="24"/>
        </w:rPr>
        <w:t>Biomic AUTh, Center for Interdisciplinary Research and Innovation (CIRI-AUTH), Balkan Center B1.4, 10th km Thessaloniki-Thermi Rd., P.O. Box 8318, Thessaloniki 57001 Greece</w:t>
      </w:r>
    </w:p>
    <w:p w14:paraId="76EFF72D"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3</w:t>
      </w:r>
      <w:r w:rsidRPr="00AB7228">
        <w:rPr>
          <w:rFonts w:ascii="Times New Roman" w:eastAsia="Arial" w:hAnsi="Times New Roman" w:cs="Times New Roman"/>
          <w:sz w:val="24"/>
          <w:szCs w:val="24"/>
        </w:rPr>
        <w:t xml:space="preserve"> West Coast Metabolomics Center, UC Davis Genome Center, University of California, 451 Health Sciences Drive, Davis, CA, USA</w:t>
      </w:r>
    </w:p>
    <w:p w14:paraId="6EEA7E0B"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4</w:t>
      </w:r>
      <w:r w:rsidRPr="00AB7228">
        <w:rPr>
          <w:rFonts w:ascii="Times New Roman" w:eastAsia="Arial" w:hAnsi="Times New Roman" w:cs="Times New Roman"/>
          <w:sz w:val="24"/>
          <w:szCs w:val="24"/>
        </w:rPr>
        <w:t xml:space="preserve"> Department of Analytical Chemistry, Faculty of Chemical Technology, University of Pardubice, Studentská 573, 53210 Pardubice, Czech Republic</w:t>
      </w:r>
    </w:p>
    <w:p w14:paraId="34F26036"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 xml:space="preserve">5 </w:t>
      </w:r>
      <w:r w:rsidRPr="00AB7228">
        <w:rPr>
          <w:rFonts w:ascii="Times New Roman" w:eastAsia="Arial" w:hAnsi="Times New Roman" w:cs="Times New Roman"/>
          <w:sz w:val="24"/>
          <w:szCs w:val="24"/>
        </w:rPr>
        <w:t xml:space="preserve">Centre for Metabolomics Research, </w:t>
      </w:r>
      <w:r w:rsidRPr="00AB7228">
        <w:rPr>
          <w:rFonts w:ascii="Times New Roman" w:eastAsia="Arial" w:hAnsi="Times New Roman" w:cs="Times New Roman"/>
          <w:sz w:val="24"/>
          <w:szCs w:val="24"/>
          <w:highlight w:val="white"/>
        </w:rPr>
        <w:t xml:space="preserve">Department of Biochemistry, Cell and Systems Biology, </w:t>
      </w:r>
      <w:r w:rsidRPr="00AB7228">
        <w:rPr>
          <w:rFonts w:ascii="Times New Roman" w:eastAsia="Arial" w:hAnsi="Times New Roman" w:cs="Times New Roman"/>
          <w:sz w:val="24"/>
          <w:szCs w:val="24"/>
        </w:rPr>
        <w:t>Institute of Systems, Molecular and Integrative Biology, University of Liverpool, BioSciences Building, Crown St., Liverpool, L69 7ZB, United Kingdom</w:t>
      </w:r>
    </w:p>
    <w:p w14:paraId="5161C6F7"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 xml:space="preserve">6 </w:t>
      </w:r>
      <w:r w:rsidRPr="00AB7228">
        <w:rPr>
          <w:rFonts w:ascii="Times New Roman" w:eastAsia="Arial" w:hAnsi="Times New Roman" w:cs="Times New Roman"/>
          <w:sz w:val="24"/>
          <w:szCs w:val="24"/>
        </w:rPr>
        <w:t>Northwest Metabolomics Research Center, Department of Anesthesiology and Pain Medicine, University of Washington, 850 Republican St., Seattle, Washington 98109, United States</w:t>
      </w:r>
    </w:p>
    <w:p w14:paraId="2F1AD948"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 xml:space="preserve">7 </w:t>
      </w:r>
      <w:r w:rsidRPr="00AB7228">
        <w:rPr>
          <w:rFonts w:ascii="Times New Roman" w:eastAsia="Arial" w:hAnsi="Times New Roman" w:cs="Times New Roman"/>
          <w:sz w:val="24"/>
          <w:szCs w:val="24"/>
        </w:rPr>
        <w:t>Waters Corporation, 34 Maple St, Massachusetts, USA</w:t>
      </w:r>
    </w:p>
    <w:p w14:paraId="340E7A0C"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8</w:t>
      </w:r>
      <w:r w:rsidRPr="00AB7228">
        <w:rPr>
          <w:rFonts w:ascii="Times New Roman" w:eastAsia="Arial" w:hAnsi="Times New Roman" w:cs="Times New Roman"/>
          <w:sz w:val="24"/>
          <w:szCs w:val="24"/>
        </w:rPr>
        <w:t xml:space="preserve"> Division of Systems Medicine, Department of Metabolism, Digestion and Reproduction, Imperial College London, Hammersmith Campus, London W12 0NN, United Kingdom</w:t>
      </w:r>
    </w:p>
    <w:p w14:paraId="2A6CDE80"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lang w:val="de-DE"/>
        </w:rPr>
      </w:pPr>
      <w:r w:rsidRPr="00AB7228">
        <w:rPr>
          <w:rFonts w:ascii="Times New Roman" w:eastAsia="Arial" w:hAnsi="Times New Roman" w:cs="Times New Roman"/>
          <w:sz w:val="24"/>
          <w:szCs w:val="24"/>
          <w:vertAlign w:val="superscript"/>
          <w:lang w:val="de-DE"/>
        </w:rPr>
        <w:t>9</w:t>
      </w:r>
      <w:r w:rsidRPr="00AB7228">
        <w:rPr>
          <w:rFonts w:ascii="Times New Roman" w:eastAsia="Arial" w:hAnsi="Times New Roman" w:cs="Times New Roman"/>
          <w:sz w:val="24"/>
          <w:szCs w:val="24"/>
          <w:lang w:val="de-DE"/>
        </w:rPr>
        <w:t xml:space="preserve"> Metabolomics and Proteomics Core, Helmholtz Zentrum München, Ingolstädter Landstraße 1, 85764 Neuherberg, Germany</w:t>
      </w:r>
    </w:p>
    <w:p w14:paraId="2DA09A8F"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10</w:t>
      </w:r>
      <w:r w:rsidRPr="00AB7228">
        <w:rPr>
          <w:rFonts w:ascii="Times New Roman" w:eastAsia="Arial" w:hAnsi="Times New Roman" w:cs="Times New Roman"/>
          <w:sz w:val="24"/>
          <w:szCs w:val="24"/>
        </w:rPr>
        <w:t xml:space="preserve"> Chair of Analytical Food Chemistry, TUM School of Life Sciences, Technical University of Munich, Maximus-von-Imhof-Forum 2, 85354 Freising-Weihenstephan, Germany</w:t>
      </w:r>
    </w:p>
    <w:p w14:paraId="0556336C"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11</w:t>
      </w:r>
      <w:r w:rsidRPr="00AB7228">
        <w:rPr>
          <w:rFonts w:ascii="Times New Roman" w:eastAsia="Arial" w:hAnsi="Times New Roman" w:cs="Times New Roman"/>
          <w:sz w:val="24"/>
          <w:szCs w:val="24"/>
        </w:rPr>
        <w:t xml:space="preserve"> Department of Medicine, Aristotle University of Thessaloniki, Thessaloniki 54124, Greece</w:t>
      </w:r>
    </w:p>
    <w:p w14:paraId="56FF770C" w14:textId="77777777" w:rsidR="00D3597A" w:rsidRPr="00AB7228" w:rsidRDefault="00D3597A" w:rsidP="00D3597A">
      <w:pPr>
        <w:shd w:val="clear" w:color="auto" w:fill="FFFFFF"/>
        <w:spacing w:after="0" w:line="240" w:lineRule="auto"/>
        <w:jc w:val="both"/>
        <w:rPr>
          <w:rFonts w:ascii="Times New Roman" w:eastAsia="Arial" w:hAnsi="Times New Roman" w:cs="Times New Roman"/>
          <w:sz w:val="24"/>
          <w:szCs w:val="24"/>
        </w:rPr>
      </w:pPr>
      <w:r w:rsidRPr="00AB7228">
        <w:rPr>
          <w:rFonts w:ascii="Times New Roman" w:eastAsia="Arial" w:hAnsi="Times New Roman" w:cs="Times New Roman"/>
          <w:sz w:val="24"/>
          <w:szCs w:val="24"/>
          <w:vertAlign w:val="superscript"/>
        </w:rPr>
        <w:t xml:space="preserve">12 </w:t>
      </w:r>
      <w:r w:rsidRPr="00AB7228">
        <w:rPr>
          <w:rFonts w:ascii="Times New Roman" w:eastAsia="Arial" w:hAnsi="Times New Roman" w:cs="Times New Roman"/>
          <w:sz w:val="24"/>
          <w:szCs w:val="24"/>
        </w:rPr>
        <w:t>Division of Systems Medicine, Department of Metabolism, Digestion and Reproduction, Imperial College London, Hammersmith Campus, London W12 0NN, United Kingdom</w:t>
      </w:r>
    </w:p>
    <w:p w14:paraId="2186E5C5" w14:textId="77777777" w:rsidR="00D3597A" w:rsidRPr="00AB7228" w:rsidRDefault="00D3597A" w:rsidP="00D3597A">
      <w:pPr>
        <w:spacing w:line="240" w:lineRule="auto"/>
        <w:rPr>
          <w:rFonts w:ascii="Times New Roman" w:eastAsia="Arial" w:hAnsi="Times New Roman" w:cs="Times New Roman"/>
          <w:sz w:val="24"/>
          <w:szCs w:val="24"/>
        </w:rPr>
      </w:pPr>
    </w:p>
    <w:p w14:paraId="4F298B4F" w14:textId="77777777" w:rsidR="00D3597A" w:rsidRPr="00AB7228" w:rsidRDefault="00D3597A" w:rsidP="00D3597A">
      <w:pPr>
        <w:spacing w:line="240" w:lineRule="auto"/>
        <w:rPr>
          <w:rFonts w:ascii="Times New Roman" w:hAnsi="Times New Roman" w:cs="Times New Roman"/>
          <w:bCs/>
          <w:sz w:val="24"/>
          <w:szCs w:val="24"/>
          <w:highlight w:val="white"/>
        </w:rPr>
      </w:pPr>
      <w:r w:rsidRPr="00AB7228">
        <w:rPr>
          <w:rFonts w:ascii="Times New Roman" w:hAnsi="Times New Roman" w:cs="Times New Roman"/>
          <w:b/>
          <w:sz w:val="24"/>
          <w:szCs w:val="24"/>
          <w:highlight w:val="white"/>
        </w:rPr>
        <w:t xml:space="preserve">* Corresponding author </w:t>
      </w:r>
      <w:r w:rsidRPr="00AB7228">
        <w:rPr>
          <w:rFonts w:ascii="Times New Roman" w:hAnsi="Times New Roman" w:cs="Times New Roman"/>
          <w:bCs/>
          <w:sz w:val="24"/>
          <w:szCs w:val="24"/>
          <w:highlight w:val="white"/>
        </w:rPr>
        <w:t>(i.wilson@imperial.ac.uk)</w:t>
      </w:r>
    </w:p>
    <w:p w14:paraId="195C3715" w14:textId="77777777" w:rsidR="004C3EA5" w:rsidRDefault="004C3EA5" w:rsidP="00B9565E">
      <w:pPr>
        <w:rPr>
          <w:b/>
          <w:bCs/>
          <w:lang w:val="en-US"/>
        </w:rPr>
      </w:pPr>
    </w:p>
    <w:p w14:paraId="6A1212D5" w14:textId="5B230452" w:rsidR="00B9565E" w:rsidRPr="000B42EE" w:rsidRDefault="00B9565E" w:rsidP="00B9565E">
      <w:pPr>
        <w:rPr>
          <w:rFonts w:ascii="Times New Roman" w:hAnsi="Times New Roman" w:cs="Times New Roman"/>
          <w:lang w:val="en-US"/>
        </w:rPr>
      </w:pPr>
      <w:r w:rsidRPr="00D3597A">
        <w:rPr>
          <w:rFonts w:ascii="Times New Roman" w:hAnsi="Times New Roman" w:cs="Times New Roman"/>
          <w:sz w:val="24"/>
          <w:szCs w:val="24"/>
          <w:lang w:val="en-US"/>
        </w:rPr>
        <w:t>As discussed</w:t>
      </w:r>
      <w:r w:rsidR="00E43BA3" w:rsidRPr="00D3597A">
        <w:rPr>
          <w:rFonts w:ascii="Times New Roman" w:hAnsi="Times New Roman" w:cs="Times New Roman"/>
          <w:sz w:val="24"/>
          <w:szCs w:val="24"/>
          <w:lang w:val="en-US"/>
        </w:rPr>
        <w:t xml:space="preserve"> in the main text</w:t>
      </w:r>
      <w:r w:rsidRPr="00D3597A">
        <w:rPr>
          <w:rFonts w:ascii="Times New Roman" w:hAnsi="Times New Roman" w:cs="Times New Roman"/>
          <w:sz w:val="24"/>
          <w:szCs w:val="24"/>
          <w:lang w:val="en-US"/>
        </w:rPr>
        <w:t>, metabolite identification represents a major challenge in metabolomics and lipidomics with emphasis on the following requirements: Authors should provide all data required by the Metabolomics Standards Initiative (MSI) of the Metabolomics Society [</w:t>
      </w:r>
      <w:r w:rsidR="00175195">
        <w:rPr>
          <w:rFonts w:ascii="Times New Roman" w:hAnsi="Times New Roman" w:cs="Times New Roman"/>
          <w:sz w:val="24"/>
          <w:szCs w:val="24"/>
          <w:lang w:val="en-US"/>
        </w:rPr>
        <w:t>1</w:t>
      </w:r>
      <w:r w:rsidRPr="00D3597A">
        <w:rPr>
          <w:rFonts w:ascii="Times New Roman" w:hAnsi="Times New Roman" w:cs="Times New Roman"/>
          <w:sz w:val="24"/>
          <w:szCs w:val="24"/>
          <w:lang w:val="en-US"/>
        </w:rPr>
        <w:t xml:space="preserve">], which includes a combination of RT, MS data, MS/MS data, NMR spectroscopy data etc. in accordance to FDA, EMA guidelines such as the EU Committee 657, 2002 guidance document for analytical </w:t>
      </w:r>
      <w:r w:rsidRPr="00D3597A">
        <w:rPr>
          <w:rFonts w:ascii="Times New Roman" w:hAnsi="Times New Roman" w:cs="Times New Roman"/>
          <w:sz w:val="24"/>
          <w:szCs w:val="24"/>
          <w:lang w:val="en-US"/>
        </w:rPr>
        <w:lastRenderedPageBreak/>
        <w:t xml:space="preserve">laboratories. For the identification and reporting of lipids, the recommendations of the Lipidomics Standards Initiative (LSI) </w:t>
      </w:r>
      <w:r w:rsidRPr="000B42EE">
        <w:rPr>
          <w:rFonts w:ascii="Times New Roman" w:hAnsi="Times New Roman" w:cs="Times New Roman"/>
          <w:sz w:val="24"/>
          <w:szCs w:val="24"/>
          <w:lang w:val="en-US"/>
        </w:rPr>
        <w:t>of the International</w:t>
      </w:r>
      <w:r w:rsidRPr="000B42EE">
        <w:rPr>
          <w:rFonts w:ascii="Times New Roman" w:hAnsi="Times New Roman" w:cs="Times New Roman"/>
          <w:lang w:val="en-US"/>
        </w:rPr>
        <w:t xml:space="preserve"> Lipidomics Society (ILS) should be followed </w:t>
      </w:r>
      <w:r w:rsidR="000B42EE" w:rsidRPr="000B42EE">
        <w:rPr>
          <w:rFonts w:ascii="Times New Roman" w:hAnsi="Times New Roman" w:cs="Times New Roman"/>
          <w:lang w:val="en-US"/>
        </w:rPr>
        <w:t>[</w:t>
      </w:r>
      <w:r w:rsidR="00175195">
        <w:rPr>
          <w:rFonts w:ascii="Times New Roman" w:hAnsi="Times New Roman" w:cs="Times New Roman"/>
          <w:lang w:val="en-US"/>
        </w:rPr>
        <w:t>2</w:t>
      </w:r>
      <w:r w:rsidR="000B42EE" w:rsidRPr="000B42EE">
        <w:rPr>
          <w:rFonts w:ascii="Times New Roman" w:hAnsi="Times New Roman" w:cs="Times New Roman"/>
          <w:lang w:val="en-US"/>
        </w:rPr>
        <w:t>]</w:t>
      </w:r>
      <w:r w:rsidRPr="000B42EE">
        <w:rPr>
          <w:rFonts w:ascii="Times New Roman" w:hAnsi="Times New Roman" w:cs="Times New Roman"/>
          <w:lang w:val="en-US"/>
        </w:rPr>
        <w:t xml:space="preserve">[Harald C. </w:t>
      </w:r>
      <w:proofErr w:type="spellStart"/>
      <w:r w:rsidRPr="000B42EE">
        <w:rPr>
          <w:rFonts w:ascii="Times New Roman" w:hAnsi="Times New Roman" w:cs="Times New Roman"/>
          <w:lang w:val="en-US"/>
        </w:rPr>
        <w:t>Köfeler</w:t>
      </w:r>
      <w:proofErr w:type="spellEnd"/>
      <w:r w:rsidRPr="000B42EE">
        <w:rPr>
          <w:rFonts w:ascii="Times New Roman" w:hAnsi="Times New Roman" w:cs="Times New Roman"/>
          <w:lang w:val="en-US"/>
        </w:rPr>
        <w:t xml:space="preserve"> et al, J. Lipid Res. (2021) 62 100138].</w:t>
      </w:r>
    </w:p>
    <w:p w14:paraId="53BA6ABB" w14:textId="77777777" w:rsidR="00D11C6C" w:rsidRDefault="00D11C6C" w:rsidP="00B9565E">
      <w:pPr>
        <w:rPr>
          <w:lang w:val="en-US"/>
        </w:rPr>
      </w:pPr>
    </w:p>
    <w:p w14:paraId="52696865" w14:textId="22B34DBF"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 xml:space="preserve">We have chosen to explore </w:t>
      </w:r>
      <w:r w:rsidR="00D11C6C" w:rsidRPr="00D3597A">
        <w:rPr>
          <w:rFonts w:ascii="Times New Roman" w:hAnsi="Times New Roman" w:cs="Times New Roman"/>
          <w:sz w:val="24"/>
          <w:szCs w:val="24"/>
          <w:lang w:val="en-US"/>
        </w:rPr>
        <w:t xml:space="preserve">one manuscript </w:t>
      </w:r>
      <w:r w:rsidRPr="00D3597A">
        <w:rPr>
          <w:rFonts w:ascii="Times New Roman" w:hAnsi="Times New Roman" w:cs="Times New Roman"/>
          <w:sz w:val="24"/>
          <w:szCs w:val="24"/>
          <w:lang w:val="en-US"/>
        </w:rPr>
        <w:t>in more detail</w:t>
      </w:r>
      <w:r w:rsidR="00D11C6C" w:rsidRPr="00D3597A">
        <w:rPr>
          <w:rFonts w:ascii="Times New Roman" w:hAnsi="Times New Roman" w:cs="Times New Roman"/>
          <w:sz w:val="24"/>
          <w:szCs w:val="24"/>
          <w:lang w:val="en-US"/>
        </w:rPr>
        <w:t xml:space="preserve">. The highlighted </w:t>
      </w:r>
      <w:r w:rsidRPr="00D3597A">
        <w:rPr>
          <w:rFonts w:ascii="Times New Roman" w:hAnsi="Times New Roman" w:cs="Times New Roman"/>
          <w:sz w:val="24"/>
          <w:szCs w:val="24"/>
          <w:lang w:val="en-US"/>
        </w:rPr>
        <w:t>issues are common to many publications</w:t>
      </w:r>
      <w:r w:rsidR="00D11C6C" w:rsidRPr="00D3597A">
        <w:rPr>
          <w:rFonts w:ascii="Times New Roman" w:hAnsi="Times New Roman" w:cs="Times New Roman"/>
          <w:sz w:val="24"/>
          <w:szCs w:val="24"/>
          <w:lang w:val="en-US"/>
        </w:rPr>
        <w:t>. We</w:t>
      </w:r>
      <w:r w:rsidRPr="00D3597A">
        <w:rPr>
          <w:rFonts w:ascii="Times New Roman" w:hAnsi="Times New Roman" w:cs="Times New Roman"/>
          <w:sz w:val="24"/>
          <w:szCs w:val="24"/>
          <w:lang w:val="en-US"/>
        </w:rPr>
        <w:t xml:space="preserve"> wish again to emphasize that this is a general problem and not specific to this particular study. </w:t>
      </w:r>
    </w:p>
    <w:p w14:paraId="30D6BD90"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 xml:space="preserve"> </w:t>
      </w:r>
    </w:p>
    <w:p w14:paraId="3933131B"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 xml:space="preserve">In their work as discussed here, the authors claim that they identified &gt;7000 analytes in the serum of chickens. Unfortunately, the real experimental data provided in support of such claims is meagre, so a large number of identification claims are not proven. </w:t>
      </w:r>
    </w:p>
    <w:p w14:paraId="7770CBD2" w14:textId="6FD3617C"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Some of the authors of this perspective have recently published two editorial notes on this problem [</w:t>
      </w:r>
      <w:r w:rsidR="00175195">
        <w:rPr>
          <w:rFonts w:ascii="Times New Roman" w:hAnsi="Times New Roman" w:cs="Times New Roman"/>
          <w:sz w:val="24"/>
          <w:szCs w:val="24"/>
          <w:lang w:val="en-US"/>
        </w:rPr>
        <w:t>3</w:t>
      </w:r>
      <w:r w:rsidRPr="00D3597A">
        <w:rPr>
          <w:rFonts w:ascii="Times New Roman" w:hAnsi="Times New Roman" w:cs="Times New Roman"/>
          <w:sz w:val="24"/>
          <w:szCs w:val="24"/>
          <w:lang w:val="en-US"/>
        </w:rPr>
        <w:t>-</w:t>
      </w:r>
      <w:r w:rsidR="00175195">
        <w:rPr>
          <w:rFonts w:ascii="Times New Roman" w:hAnsi="Times New Roman" w:cs="Times New Roman"/>
          <w:sz w:val="24"/>
          <w:szCs w:val="24"/>
          <w:lang w:val="en-US"/>
        </w:rPr>
        <w:t>4</w:t>
      </w:r>
      <w:r w:rsidRPr="00D3597A">
        <w:rPr>
          <w:rFonts w:ascii="Times New Roman" w:hAnsi="Times New Roman" w:cs="Times New Roman"/>
          <w:sz w:val="24"/>
          <w:szCs w:val="24"/>
          <w:lang w:val="en-US"/>
        </w:rPr>
        <w:t xml:space="preserve">]. In these articles we highlighted two major categories of common errors. </w:t>
      </w:r>
    </w:p>
    <w:p w14:paraId="3D482F66"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w:t>
      </w:r>
      <w:r w:rsidRPr="00D3597A">
        <w:rPr>
          <w:rFonts w:ascii="Times New Roman" w:hAnsi="Times New Roman" w:cs="Times New Roman"/>
          <w:sz w:val="24"/>
          <w:szCs w:val="24"/>
          <w:lang w:val="en-US"/>
        </w:rPr>
        <w:tab/>
        <w:t xml:space="preserve">Reporting xenobiotic analytes unrelated to the specific specimen. Such claims need strong additional evidence. </w:t>
      </w:r>
    </w:p>
    <w:p w14:paraId="154F3C7E"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w:t>
      </w:r>
      <w:r w:rsidRPr="00D3597A">
        <w:rPr>
          <w:rFonts w:ascii="Times New Roman" w:hAnsi="Times New Roman" w:cs="Times New Roman"/>
          <w:sz w:val="24"/>
          <w:szCs w:val="24"/>
          <w:lang w:val="en-US"/>
        </w:rPr>
        <w:tab/>
        <w:t>Reporting analytes with physicochemical properties not compatible with the reported data (especially the case for chromatographic separations).</w:t>
      </w:r>
    </w:p>
    <w:p w14:paraId="22DF550E" w14:textId="04C0BF43"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The manuscript in question provides a wealth of examples in both categories. We highlight below a small number of such examples of data and metabolite identification</w:t>
      </w:r>
      <w:r w:rsidR="00E43BA3" w:rsidRPr="00D3597A">
        <w:rPr>
          <w:rFonts w:ascii="Times New Roman" w:hAnsi="Times New Roman" w:cs="Times New Roman"/>
          <w:color w:val="000000" w:themeColor="text1"/>
          <w:sz w:val="24"/>
          <w:szCs w:val="24"/>
          <w:lang w:val="en-US"/>
        </w:rPr>
        <w:t>, provided by the</w:t>
      </w:r>
      <w:r w:rsidR="00D3597A">
        <w:rPr>
          <w:rFonts w:ascii="Times New Roman" w:hAnsi="Times New Roman" w:cs="Times New Roman"/>
          <w:color w:val="000000" w:themeColor="text1"/>
          <w:sz w:val="24"/>
          <w:szCs w:val="24"/>
          <w:lang w:val="en-US"/>
        </w:rPr>
        <w:t>m</w:t>
      </w:r>
      <w:r w:rsidR="00E43BA3" w:rsidRPr="00D3597A">
        <w:rPr>
          <w:rFonts w:ascii="Times New Roman" w:hAnsi="Times New Roman" w:cs="Times New Roman"/>
          <w:color w:val="000000" w:themeColor="text1"/>
          <w:sz w:val="24"/>
          <w:szCs w:val="24"/>
          <w:lang w:val="en-US"/>
        </w:rPr>
        <w:t xml:space="preserve"> </w:t>
      </w:r>
      <w:r w:rsidRPr="00D3597A">
        <w:rPr>
          <w:rFonts w:ascii="Times New Roman" w:hAnsi="Times New Roman" w:cs="Times New Roman"/>
          <w:color w:val="000000" w:themeColor="text1"/>
          <w:sz w:val="24"/>
          <w:szCs w:val="24"/>
          <w:lang w:val="en-US"/>
        </w:rPr>
        <w:t xml:space="preserve"> </w:t>
      </w:r>
      <w:r w:rsidRPr="00D3597A">
        <w:rPr>
          <w:rFonts w:ascii="Times New Roman" w:hAnsi="Times New Roman" w:cs="Times New Roman"/>
          <w:sz w:val="24"/>
          <w:szCs w:val="24"/>
          <w:lang w:val="en-US"/>
        </w:rPr>
        <w:t xml:space="preserve">that are in our opinion not substantiated to the required level. It is very likely that there are more such cases in these data. </w:t>
      </w:r>
    </w:p>
    <w:p w14:paraId="6CCEC2EA" w14:textId="77777777" w:rsidR="00B9565E" w:rsidRPr="00D3597A" w:rsidRDefault="00B9565E" w:rsidP="00B9565E">
      <w:pPr>
        <w:rPr>
          <w:rFonts w:ascii="Times New Roman" w:hAnsi="Times New Roman" w:cs="Times New Roman"/>
          <w:sz w:val="24"/>
          <w:szCs w:val="24"/>
          <w:lang w:val="en-US"/>
        </w:rPr>
      </w:pPr>
    </w:p>
    <w:p w14:paraId="53187A20" w14:textId="77777777" w:rsidR="00B9565E" w:rsidRPr="00D3597A" w:rsidRDefault="00B9565E" w:rsidP="00B9565E">
      <w:pPr>
        <w:rPr>
          <w:rFonts w:ascii="Times New Roman" w:hAnsi="Times New Roman" w:cs="Times New Roman"/>
          <w:b/>
          <w:bCs/>
          <w:sz w:val="24"/>
          <w:szCs w:val="24"/>
          <w:lang w:val="en-US"/>
        </w:rPr>
      </w:pPr>
      <w:r w:rsidRPr="00D3597A">
        <w:rPr>
          <w:rFonts w:ascii="Times New Roman" w:hAnsi="Times New Roman" w:cs="Times New Roman"/>
          <w:b/>
          <w:bCs/>
          <w:sz w:val="24"/>
          <w:szCs w:val="24"/>
          <w:lang w:val="en-US"/>
        </w:rPr>
        <w:t>Section 1. Exogenous / Xenobiotic entities</w:t>
      </w:r>
    </w:p>
    <w:p w14:paraId="6D1205D9" w14:textId="5E30CACB"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Regarding the plausibility of the proposed identifications, of Tian et al. (supplementary information</w:t>
      </w:r>
      <w:r w:rsidR="00E43BA3" w:rsidRPr="00D3597A">
        <w:rPr>
          <w:rFonts w:ascii="Times New Roman" w:hAnsi="Times New Roman" w:cs="Times New Roman"/>
          <w:b/>
          <w:bCs/>
          <w:sz w:val="24"/>
          <w:szCs w:val="24"/>
          <w:lang w:val="en-US"/>
        </w:rPr>
        <w:t xml:space="preserve"> Table S1</w:t>
      </w:r>
      <w:r w:rsidRPr="00D3597A">
        <w:rPr>
          <w:rFonts w:ascii="Times New Roman" w:hAnsi="Times New Roman" w:cs="Times New Roman"/>
          <w:sz w:val="24"/>
          <w:szCs w:val="24"/>
          <w:lang w:val="en-US"/>
        </w:rPr>
        <w:t xml:space="preserve">) contains more than 2300 entities (correctly) </w:t>
      </w:r>
      <w:r w:rsidR="006276F0" w:rsidRPr="00D3597A">
        <w:rPr>
          <w:rFonts w:ascii="Times New Roman" w:hAnsi="Times New Roman" w:cs="Times New Roman"/>
          <w:sz w:val="24"/>
          <w:szCs w:val="24"/>
          <w:lang w:val="en-US"/>
        </w:rPr>
        <w:t>characterized</w:t>
      </w:r>
      <w:r w:rsidRPr="00D3597A">
        <w:rPr>
          <w:rFonts w:ascii="Times New Roman" w:hAnsi="Times New Roman" w:cs="Times New Roman"/>
          <w:sz w:val="24"/>
          <w:szCs w:val="24"/>
          <w:lang w:val="en-US"/>
        </w:rPr>
        <w:t xml:space="preserve"> by the authors as exogenous substances</w:t>
      </w:r>
      <w:r w:rsidR="00D3597A">
        <w:rPr>
          <w:rFonts w:ascii="Times New Roman" w:hAnsi="Times New Roman" w:cs="Times New Roman"/>
          <w:sz w:val="24"/>
          <w:szCs w:val="24"/>
          <w:lang w:val="en-US"/>
        </w:rPr>
        <w:t xml:space="preserve"> [</w:t>
      </w:r>
      <w:r w:rsidR="00175195">
        <w:rPr>
          <w:rFonts w:ascii="Times New Roman" w:hAnsi="Times New Roman" w:cs="Times New Roman"/>
          <w:sz w:val="24"/>
          <w:szCs w:val="24"/>
          <w:lang w:val="en-US"/>
        </w:rPr>
        <w:t>5</w:t>
      </w:r>
      <w:r w:rsidR="00D3597A">
        <w:rPr>
          <w:rFonts w:ascii="Times New Roman" w:hAnsi="Times New Roman" w:cs="Times New Roman"/>
          <w:sz w:val="24"/>
          <w:szCs w:val="24"/>
          <w:lang w:val="en-US"/>
        </w:rPr>
        <w:t>]</w:t>
      </w:r>
      <w:r w:rsidRPr="00D3597A">
        <w:rPr>
          <w:rFonts w:ascii="Times New Roman" w:hAnsi="Times New Roman" w:cs="Times New Roman"/>
          <w:sz w:val="24"/>
          <w:szCs w:val="24"/>
          <w:lang w:val="en-US"/>
        </w:rPr>
        <w:t xml:space="preserve">. We believe that there are many chemicals, particularly pharmaceuticals, supposedly present in control chicken serum </w:t>
      </w:r>
      <w:r w:rsidR="006276F0" w:rsidRPr="00D3597A">
        <w:rPr>
          <w:rFonts w:ascii="Times New Roman" w:hAnsi="Times New Roman" w:cs="Times New Roman"/>
          <w:sz w:val="24"/>
          <w:szCs w:val="24"/>
          <w:lang w:val="en-US"/>
        </w:rPr>
        <w:t xml:space="preserve">that </w:t>
      </w:r>
      <w:r w:rsidRPr="00D3597A">
        <w:rPr>
          <w:rFonts w:ascii="Times New Roman" w:hAnsi="Times New Roman" w:cs="Times New Roman"/>
          <w:sz w:val="24"/>
          <w:szCs w:val="24"/>
          <w:lang w:val="en-US"/>
        </w:rPr>
        <w:t xml:space="preserve">are very unlikely and such claims require verification ideally to level 1 of the MSI . Reporting the detection of such analytes should be justified and should be supported by additional strong evidence (which usually consists of two orthogonal chemical properties - such as retention time and accurate mass plus MS/MS data - matched to an authentic standard). In the present case </w:t>
      </w:r>
      <w:r w:rsidR="006276F0" w:rsidRPr="00D3597A">
        <w:rPr>
          <w:rFonts w:ascii="Times New Roman" w:hAnsi="Times New Roman" w:cs="Times New Roman"/>
          <w:sz w:val="24"/>
          <w:szCs w:val="24"/>
          <w:lang w:val="en-US"/>
        </w:rPr>
        <w:t>a</w:t>
      </w:r>
      <w:r w:rsidRPr="00D3597A">
        <w:rPr>
          <w:rFonts w:ascii="Times New Roman" w:hAnsi="Times New Roman" w:cs="Times New Roman"/>
          <w:sz w:val="24"/>
          <w:szCs w:val="24"/>
          <w:lang w:val="en-US"/>
        </w:rPr>
        <w:t xml:space="preserve"> very large number of pharmaceuticals and pesticides are claimed as present which, if true, would be a cause of some concern to consumers. Even if the chickens were treated with veterinary medicines or exposed via feedstock, most of these annotations remain implausible. </w:t>
      </w:r>
    </w:p>
    <w:p w14:paraId="67774912" w14:textId="421F0DA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 xml:space="preserve">Some examples of such unproven claims are highlighted in red font in the attached table indicating a large number of analytes that are suspect identifications representing molecules that need meticulous scrutiny and strong evidence. We do not </w:t>
      </w:r>
      <w:r w:rsidRPr="00D3597A">
        <w:rPr>
          <w:rFonts w:ascii="Times New Roman" w:hAnsi="Times New Roman" w:cs="Times New Roman"/>
          <w:sz w:val="24"/>
          <w:szCs w:val="24"/>
          <w:lang w:val="en-US"/>
        </w:rPr>
        <w:lastRenderedPageBreak/>
        <w:t xml:space="preserve">claim that this is a comprehensive listing of unlikely identifications, these are simply the most obvious examples. Further to our original check we searched for these molecules in chemical and pharmaceutical databases (PubChem, ChemSpider, the IUPHAR/BPS Guide to PHARMACOLOGY) to ensure that a compound was of natural origin or not. We believe that if a xenobiotic (drug, pesticide etc.,) is proven to be in the serum of control chickens its presence should be explained. A large number of exogenous natural products were also “identified” in the Table. While the presence of natural products may be plausible for some of them, for example as being part of the feeding regime, reporting such a large number of natural toxins, alkaloids, secondary metabolites etc. in the blood of farmed animals should ring alarm bells and should have been investigated further and justified. We have highlighted analytes below which are entirely synthetic in origin. A selection of these xenobiotics claimed as being present in the serum of chickens is given below along with a short description (further examples are highlighted in the attached table): </w:t>
      </w:r>
    </w:p>
    <w:p w14:paraId="663B1F76"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w:t>
      </w:r>
      <w:r w:rsidRPr="00D3597A">
        <w:rPr>
          <w:rFonts w:ascii="Times New Roman" w:hAnsi="Times New Roman" w:cs="Times New Roman"/>
          <w:sz w:val="24"/>
          <w:szCs w:val="24"/>
          <w:lang w:val="en-US"/>
        </w:rPr>
        <w:tab/>
        <w:t>Astemizole is a synthetic piperidinyl-benzimidazole derivative</w:t>
      </w:r>
    </w:p>
    <w:p w14:paraId="0532EF9A"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w:t>
      </w:r>
      <w:r w:rsidRPr="00D3597A">
        <w:rPr>
          <w:rFonts w:ascii="Times New Roman" w:hAnsi="Times New Roman" w:cs="Times New Roman"/>
          <w:sz w:val="24"/>
          <w:szCs w:val="24"/>
          <w:lang w:val="en-US"/>
        </w:rPr>
        <w:tab/>
        <w:t>Betamethasone Valerate is the 17-valerate ester of betamethasone, a synthetic glucocorticoid</w:t>
      </w:r>
    </w:p>
    <w:p w14:paraId="0E1E927B"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w:t>
      </w:r>
      <w:r w:rsidRPr="00D3597A">
        <w:rPr>
          <w:rFonts w:ascii="Times New Roman" w:hAnsi="Times New Roman" w:cs="Times New Roman"/>
          <w:sz w:val="24"/>
          <w:szCs w:val="24"/>
          <w:lang w:val="en-US"/>
        </w:rPr>
        <w:tab/>
        <w:t>Oxandrolone is a synthetic anabolic steroid.</w:t>
      </w:r>
    </w:p>
    <w:p w14:paraId="45E6409D"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4.</w:t>
      </w:r>
      <w:r w:rsidRPr="00D3597A">
        <w:rPr>
          <w:rFonts w:ascii="Times New Roman" w:hAnsi="Times New Roman" w:cs="Times New Roman"/>
          <w:sz w:val="24"/>
          <w:szCs w:val="24"/>
          <w:lang w:val="en-US"/>
        </w:rPr>
        <w:tab/>
        <w:t xml:space="preserve">Valganciclovir is a prodrug of ganciclovir, an approved antiviral drug. If </w:t>
      </w:r>
      <w:proofErr w:type="gramStart"/>
      <w:r w:rsidRPr="00D3597A">
        <w:rPr>
          <w:rFonts w:ascii="Times New Roman" w:hAnsi="Times New Roman" w:cs="Times New Roman"/>
          <w:sz w:val="24"/>
          <w:szCs w:val="24"/>
          <w:lang w:val="en-US"/>
        </w:rPr>
        <w:t>administered</w:t>
      </w:r>
      <w:proofErr w:type="gramEnd"/>
      <w:r w:rsidRPr="00D3597A">
        <w:rPr>
          <w:rFonts w:ascii="Times New Roman" w:hAnsi="Times New Roman" w:cs="Times New Roman"/>
          <w:sz w:val="24"/>
          <w:szCs w:val="24"/>
          <w:lang w:val="en-US"/>
        </w:rPr>
        <w:t xml:space="preserve"> it should be transformed to ganciclovir.</w:t>
      </w:r>
    </w:p>
    <w:p w14:paraId="2D49AF43"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5.</w:t>
      </w:r>
      <w:r w:rsidRPr="00D3597A">
        <w:rPr>
          <w:rFonts w:ascii="Times New Roman" w:hAnsi="Times New Roman" w:cs="Times New Roman"/>
          <w:sz w:val="24"/>
          <w:szCs w:val="24"/>
          <w:lang w:val="en-US"/>
        </w:rPr>
        <w:tab/>
        <w:t>Amidosulfuron is a broad spectrum herbicide</w:t>
      </w:r>
    </w:p>
    <w:p w14:paraId="7ED56A36"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6.</w:t>
      </w:r>
      <w:r w:rsidRPr="00D3597A">
        <w:rPr>
          <w:rFonts w:ascii="Times New Roman" w:hAnsi="Times New Roman" w:cs="Times New Roman"/>
          <w:sz w:val="24"/>
          <w:szCs w:val="24"/>
          <w:lang w:val="en-US"/>
        </w:rPr>
        <w:tab/>
        <w:t>Celecoxib is a non-steroidal anti-inflammatory drug (NSAID)</w:t>
      </w:r>
    </w:p>
    <w:p w14:paraId="5C58A7C1"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7.</w:t>
      </w:r>
      <w:r w:rsidRPr="00D3597A">
        <w:rPr>
          <w:rFonts w:ascii="Times New Roman" w:hAnsi="Times New Roman" w:cs="Times New Roman"/>
          <w:sz w:val="24"/>
          <w:szCs w:val="24"/>
          <w:lang w:val="en-US"/>
        </w:rPr>
        <w:tab/>
        <w:t xml:space="preserve">Thiomersal drug developed and registered under the trade name Merthiolate by Eli Lilly and Company. </w:t>
      </w:r>
    </w:p>
    <w:p w14:paraId="502886FB"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8.</w:t>
      </w:r>
      <w:r w:rsidRPr="00D3597A">
        <w:rPr>
          <w:rFonts w:ascii="Times New Roman" w:hAnsi="Times New Roman" w:cs="Times New Roman"/>
          <w:sz w:val="24"/>
          <w:szCs w:val="24"/>
          <w:lang w:val="en-US"/>
        </w:rPr>
        <w:tab/>
        <w:t>Artesunate is a semisynthetic derivative of artemisinin.</w:t>
      </w:r>
    </w:p>
    <w:p w14:paraId="3DCF2C4B"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9.</w:t>
      </w:r>
      <w:r w:rsidRPr="00D3597A">
        <w:rPr>
          <w:rFonts w:ascii="Times New Roman" w:hAnsi="Times New Roman" w:cs="Times New Roman"/>
          <w:sz w:val="24"/>
          <w:szCs w:val="24"/>
          <w:lang w:val="en-US"/>
        </w:rPr>
        <w:tab/>
        <w:t>Dapsone is a sulfonamide-related antibacterial, antimalarial and anti-inflammatory drug.</w:t>
      </w:r>
    </w:p>
    <w:p w14:paraId="4FE2FC4E"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10.</w:t>
      </w:r>
      <w:r w:rsidRPr="00D3597A">
        <w:rPr>
          <w:rFonts w:ascii="Times New Roman" w:hAnsi="Times New Roman" w:cs="Times New Roman"/>
          <w:sz w:val="24"/>
          <w:szCs w:val="24"/>
          <w:lang w:val="en-US"/>
        </w:rPr>
        <w:tab/>
        <w:t>Gemfibrozil is a fibric acid antilipemic agent, pharmacologically similar to clofibrate.</w:t>
      </w:r>
    </w:p>
    <w:p w14:paraId="51F62BFA"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11.</w:t>
      </w:r>
      <w:r w:rsidRPr="00D3597A">
        <w:rPr>
          <w:rFonts w:ascii="Times New Roman" w:hAnsi="Times New Roman" w:cs="Times New Roman"/>
          <w:sz w:val="24"/>
          <w:szCs w:val="24"/>
          <w:lang w:val="en-US"/>
        </w:rPr>
        <w:tab/>
        <w:t>Pimozide is an antipsychotic drug of the diphenylbutylpiperidine class.</w:t>
      </w:r>
    </w:p>
    <w:p w14:paraId="6C020862"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12.</w:t>
      </w:r>
      <w:r w:rsidRPr="00D3597A">
        <w:rPr>
          <w:rFonts w:ascii="Times New Roman" w:hAnsi="Times New Roman" w:cs="Times New Roman"/>
          <w:sz w:val="24"/>
          <w:szCs w:val="24"/>
          <w:lang w:val="en-US"/>
        </w:rPr>
        <w:tab/>
        <w:t>Delavirdine is an antiretroviral agent that acts by noncompetitive binding to and inhibition of the HIV reverse transcriptase</w:t>
      </w:r>
    </w:p>
    <w:p w14:paraId="25088D64"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13.</w:t>
      </w:r>
      <w:r w:rsidRPr="00D3597A">
        <w:rPr>
          <w:rFonts w:ascii="Times New Roman" w:hAnsi="Times New Roman" w:cs="Times New Roman"/>
          <w:sz w:val="24"/>
          <w:szCs w:val="24"/>
          <w:lang w:val="en-US"/>
        </w:rPr>
        <w:tab/>
        <w:t>Udenafil (Zydena) is a PDE5I developed by a pharmaceutical company in 2005</w:t>
      </w:r>
    </w:p>
    <w:p w14:paraId="5424FD7C"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14.</w:t>
      </w:r>
      <w:r w:rsidRPr="00D3597A">
        <w:rPr>
          <w:rFonts w:ascii="Times New Roman" w:hAnsi="Times New Roman" w:cs="Times New Roman"/>
          <w:sz w:val="24"/>
          <w:szCs w:val="24"/>
          <w:lang w:val="en-US"/>
        </w:rPr>
        <w:tab/>
        <w:t>Perindoprilat is a metabolite of perindopril, an anti-hypertension synthetic drug.</w:t>
      </w:r>
    </w:p>
    <w:p w14:paraId="2A1D54D1" w14:textId="5999394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lastRenderedPageBreak/>
        <w:t>15.</w:t>
      </w:r>
      <w:r w:rsidRPr="00D3597A">
        <w:rPr>
          <w:rFonts w:ascii="Times New Roman" w:hAnsi="Times New Roman" w:cs="Times New Roman"/>
          <w:sz w:val="24"/>
          <w:szCs w:val="24"/>
          <w:lang w:val="en-US"/>
        </w:rPr>
        <w:tab/>
        <w:t xml:space="preserve">PerindoprilErbumine is a prodrug, that means that even if the farmers have indeed delivered the drug formulation for hypertension to the hens, this molecule would </w:t>
      </w:r>
      <w:r w:rsidR="006276F0" w:rsidRPr="00D3597A">
        <w:rPr>
          <w:rFonts w:ascii="Times New Roman" w:hAnsi="Times New Roman" w:cs="Times New Roman"/>
          <w:sz w:val="24"/>
          <w:szCs w:val="24"/>
          <w:lang w:val="en-US"/>
        </w:rPr>
        <w:t>hydrolyze</w:t>
      </w:r>
      <w:r w:rsidRPr="00D3597A">
        <w:rPr>
          <w:rFonts w:ascii="Times New Roman" w:hAnsi="Times New Roman" w:cs="Times New Roman"/>
          <w:sz w:val="24"/>
          <w:szCs w:val="24"/>
          <w:lang w:val="en-US"/>
        </w:rPr>
        <w:t xml:space="preserve"> in the blood to form Perindoprilat. </w:t>
      </w:r>
    </w:p>
    <w:p w14:paraId="424B9670" w14:textId="3A756AD8"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16.</w:t>
      </w:r>
      <w:r w:rsidRPr="00D3597A">
        <w:rPr>
          <w:rFonts w:ascii="Times New Roman" w:hAnsi="Times New Roman" w:cs="Times New Roman"/>
          <w:sz w:val="24"/>
          <w:szCs w:val="24"/>
          <w:lang w:val="en-US"/>
        </w:rPr>
        <w:tab/>
        <w:t xml:space="preserve">Lisinopril and </w:t>
      </w:r>
      <w:r w:rsidR="006276F0" w:rsidRPr="00D3597A">
        <w:rPr>
          <w:rFonts w:ascii="Times New Roman" w:hAnsi="Times New Roman" w:cs="Times New Roman"/>
          <w:sz w:val="24"/>
          <w:szCs w:val="24"/>
          <w:lang w:val="en-US"/>
        </w:rPr>
        <w:t>f</w:t>
      </w:r>
      <w:r w:rsidRPr="00D3597A">
        <w:rPr>
          <w:rFonts w:ascii="Times New Roman" w:hAnsi="Times New Roman" w:cs="Times New Roman"/>
          <w:sz w:val="24"/>
          <w:szCs w:val="24"/>
          <w:lang w:val="en-US"/>
        </w:rPr>
        <w:t>osinopril are also anti-hypertension synthetic drugs of the same category as the above. How can it be that chicken blood contains three such drugs?</w:t>
      </w:r>
    </w:p>
    <w:p w14:paraId="68D72F96"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17.</w:t>
      </w:r>
      <w:r w:rsidRPr="00D3597A">
        <w:rPr>
          <w:rFonts w:ascii="Times New Roman" w:hAnsi="Times New Roman" w:cs="Times New Roman"/>
          <w:sz w:val="24"/>
          <w:szCs w:val="24"/>
          <w:lang w:val="en-US"/>
        </w:rPr>
        <w:tab/>
        <w:t>Promazine is a phenothiazine antipsychotic.</w:t>
      </w:r>
    </w:p>
    <w:p w14:paraId="224972B9"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18.</w:t>
      </w:r>
      <w:r w:rsidRPr="00D3597A">
        <w:rPr>
          <w:rFonts w:ascii="Times New Roman" w:hAnsi="Times New Roman" w:cs="Times New Roman"/>
          <w:sz w:val="24"/>
          <w:szCs w:val="24"/>
          <w:lang w:val="en-US"/>
        </w:rPr>
        <w:tab/>
        <w:t>Prednisolone and Prednisone are synthetic glucocorticoids.</w:t>
      </w:r>
    </w:p>
    <w:p w14:paraId="76C2E5E4"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19.</w:t>
      </w:r>
      <w:r w:rsidRPr="00D3597A">
        <w:rPr>
          <w:rFonts w:ascii="Times New Roman" w:hAnsi="Times New Roman" w:cs="Times New Roman"/>
          <w:sz w:val="24"/>
          <w:szCs w:val="24"/>
          <w:lang w:val="en-US"/>
        </w:rPr>
        <w:tab/>
        <w:t>Desogestrel is a progestin (synthetic progesterone-like agent)</w:t>
      </w:r>
    </w:p>
    <w:p w14:paraId="2DFA4EFF"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20.</w:t>
      </w:r>
      <w:r w:rsidRPr="00D3597A">
        <w:rPr>
          <w:rFonts w:ascii="Times New Roman" w:hAnsi="Times New Roman" w:cs="Times New Roman"/>
          <w:sz w:val="24"/>
          <w:szCs w:val="24"/>
          <w:lang w:val="en-US"/>
        </w:rPr>
        <w:tab/>
        <w:t>Megestrol (commonly administered as the acetate ester is a synthetic derivative of the female sex hormone progesterone.</w:t>
      </w:r>
    </w:p>
    <w:p w14:paraId="76B54727"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21.</w:t>
      </w:r>
      <w:r w:rsidRPr="00D3597A">
        <w:rPr>
          <w:rFonts w:ascii="Times New Roman" w:hAnsi="Times New Roman" w:cs="Times New Roman"/>
          <w:sz w:val="24"/>
          <w:szCs w:val="24"/>
          <w:lang w:val="en-US"/>
        </w:rPr>
        <w:tab/>
        <w:t>Alclometasone is a synthetic corticosteroid for topical dermatologic use.</w:t>
      </w:r>
    </w:p>
    <w:p w14:paraId="23779E0D"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22.</w:t>
      </w:r>
      <w:r w:rsidRPr="00D3597A">
        <w:rPr>
          <w:rFonts w:ascii="Times New Roman" w:hAnsi="Times New Roman" w:cs="Times New Roman"/>
          <w:sz w:val="24"/>
          <w:szCs w:val="24"/>
          <w:lang w:val="en-US"/>
        </w:rPr>
        <w:tab/>
        <w:t>Flucofuron is an organofluorine pesticide</w:t>
      </w:r>
    </w:p>
    <w:p w14:paraId="3EF72E5E"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23.</w:t>
      </w:r>
      <w:r w:rsidRPr="00D3597A">
        <w:rPr>
          <w:rFonts w:ascii="Times New Roman" w:hAnsi="Times New Roman" w:cs="Times New Roman"/>
          <w:sz w:val="24"/>
          <w:szCs w:val="24"/>
          <w:lang w:val="en-US"/>
        </w:rPr>
        <w:tab/>
        <w:t>Otenzepad is a competitive muscarinic receptor antagonist that is relatively selective at the M2 receptor. It was investigated as a treatment for arrhythmia.</w:t>
      </w:r>
    </w:p>
    <w:p w14:paraId="2BBA973A"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24.</w:t>
      </w:r>
      <w:r w:rsidRPr="00D3597A">
        <w:rPr>
          <w:rFonts w:ascii="Times New Roman" w:hAnsi="Times New Roman" w:cs="Times New Roman"/>
          <w:sz w:val="24"/>
          <w:szCs w:val="24"/>
          <w:lang w:val="en-US"/>
        </w:rPr>
        <w:tab/>
        <w:t>Chloramphenicol is a semisynthetic, broad-spectrum antibacterial</w:t>
      </w:r>
    </w:p>
    <w:p w14:paraId="3048660F"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25.</w:t>
      </w:r>
      <w:r w:rsidRPr="00D3597A">
        <w:rPr>
          <w:rFonts w:ascii="Times New Roman" w:hAnsi="Times New Roman" w:cs="Times New Roman"/>
          <w:sz w:val="24"/>
          <w:szCs w:val="24"/>
          <w:lang w:val="en-US"/>
        </w:rPr>
        <w:tab/>
        <w:t>Irbesartan is an angiotensin receptor antagonist.</w:t>
      </w:r>
    </w:p>
    <w:p w14:paraId="64802D0E"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26.</w:t>
      </w:r>
      <w:r w:rsidRPr="00D3597A">
        <w:rPr>
          <w:rFonts w:ascii="Times New Roman" w:hAnsi="Times New Roman" w:cs="Times New Roman"/>
          <w:sz w:val="24"/>
          <w:szCs w:val="24"/>
          <w:lang w:val="en-US"/>
        </w:rPr>
        <w:tab/>
        <w:t>Mifepristone is a drug used to block progesterone in order to end a pregnancy.</w:t>
      </w:r>
    </w:p>
    <w:p w14:paraId="244D6999"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27.</w:t>
      </w:r>
      <w:r w:rsidRPr="00D3597A">
        <w:rPr>
          <w:rFonts w:ascii="Times New Roman" w:hAnsi="Times New Roman" w:cs="Times New Roman"/>
          <w:sz w:val="24"/>
          <w:szCs w:val="24"/>
          <w:lang w:val="en-US"/>
        </w:rPr>
        <w:tab/>
        <w:t>Doxycycline is a tetracycline based antibacterial.</w:t>
      </w:r>
    </w:p>
    <w:p w14:paraId="48D8E18E"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28.</w:t>
      </w:r>
      <w:r w:rsidRPr="00D3597A">
        <w:rPr>
          <w:rFonts w:ascii="Times New Roman" w:hAnsi="Times New Roman" w:cs="Times New Roman"/>
          <w:sz w:val="24"/>
          <w:szCs w:val="24"/>
          <w:lang w:val="en-US"/>
        </w:rPr>
        <w:tab/>
        <w:t xml:space="preserve">Delavirdine is a non-nucleoside reverse transcriptase inhibitor (NNRTI) used to treat HIV-1 </w:t>
      </w:r>
    </w:p>
    <w:p w14:paraId="4351EFA9"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29.</w:t>
      </w:r>
      <w:r w:rsidRPr="00D3597A">
        <w:rPr>
          <w:rFonts w:ascii="Times New Roman" w:hAnsi="Times New Roman" w:cs="Times New Roman"/>
          <w:sz w:val="24"/>
          <w:szCs w:val="24"/>
          <w:lang w:val="en-US"/>
        </w:rPr>
        <w:tab/>
        <w:t>Carbamazepine is a tricyclic anticonvulsant.</w:t>
      </w:r>
    </w:p>
    <w:p w14:paraId="3963EF86" w14:textId="726CB6AE"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30.</w:t>
      </w:r>
      <w:r w:rsidRPr="00D3597A">
        <w:rPr>
          <w:rFonts w:ascii="Times New Roman" w:hAnsi="Times New Roman" w:cs="Times New Roman"/>
          <w:sz w:val="24"/>
          <w:szCs w:val="24"/>
          <w:lang w:val="en-US"/>
        </w:rPr>
        <w:tab/>
        <w:t xml:space="preserve">Practolol is a selective </w:t>
      </w:r>
      <w:r w:rsidRPr="00D3597A">
        <w:rPr>
          <w:rFonts w:ascii="Times New Roman" w:hAnsi="Times New Roman" w:cs="Times New Roman"/>
          <w:sz w:val="24"/>
          <w:szCs w:val="24"/>
        </w:rPr>
        <w:t>β</w:t>
      </w:r>
      <w:r w:rsidR="006276F0" w:rsidRPr="00D3597A">
        <w:rPr>
          <w:rFonts w:ascii="Times New Roman" w:hAnsi="Times New Roman" w:cs="Times New Roman"/>
          <w:sz w:val="24"/>
          <w:szCs w:val="24"/>
          <w:lang w:val="en-GB"/>
        </w:rPr>
        <w:t>-</w:t>
      </w:r>
      <w:r w:rsidRPr="00D3597A">
        <w:rPr>
          <w:rFonts w:ascii="Times New Roman" w:hAnsi="Times New Roman" w:cs="Times New Roman"/>
          <w:sz w:val="24"/>
          <w:szCs w:val="24"/>
          <w:lang w:val="en-US"/>
        </w:rPr>
        <w:t xml:space="preserve">blocker </w:t>
      </w:r>
    </w:p>
    <w:p w14:paraId="49E8CC4F"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31.</w:t>
      </w:r>
      <w:r w:rsidRPr="00D3597A">
        <w:rPr>
          <w:rFonts w:ascii="Times New Roman" w:hAnsi="Times New Roman" w:cs="Times New Roman"/>
          <w:sz w:val="24"/>
          <w:szCs w:val="24"/>
          <w:lang w:val="en-US"/>
        </w:rPr>
        <w:tab/>
        <w:t xml:space="preserve">Atenolol is a selective </w:t>
      </w:r>
      <w:r w:rsidRPr="00D3597A">
        <w:rPr>
          <w:rFonts w:ascii="Times New Roman" w:hAnsi="Times New Roman" w:cs="Times New Roman"/>
          <w:sz w:val="24"/>
          <w:szCs w:val="24"/>
        </w:rPr>
        <w:t>β</w:t>
      </w:r>
      <w:r w:rsidRPr="00D3597A">
        <w:rPr>
          <w:rFonts w:ascii="Times New Roman" w:hAnsi="Times New Roman" w:cs="Times New Roman"/>
          <w:sz w:val="24"/>
          <w:szCs w:val="24"/>
          <w:lang w:val="en-US"/>
        </w:rPr>
        <w:t>1-adrenoceptor antagonist (</w:t>
      </w:r>
      <w:r w:rsidRPr="00D3597A">
        <w:rPr>
          <w:rFonts w:ascii="Times New Roman" w:hAnsi="Times New Roman" w:cs="Times New Roman"/>
          <w:sz w:val="24"/>
          <w:szCs w:val="24"/>
        </w:rPr>
        <w:t>β</w:t>
      </w:r>
      <w:r w:rsidRPr="00D3597A">
        <w:rPr>
          <w:rFonts w:ascii="Times New Roman" w:hAnsi="Times New Roman" w:cs="Times New Roman"/>
          <w:sz w:val="24"/>
          <w:szCs w:val="24"/>
          <w:lang w:val="en-US"/>
        </w:rPr>
        <w:t xml:space="preserve"> blocker)</w:t>
      </w:r>
    </w:p>
    <w:p w14:paraId="02F2CA5F"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32.</w:t>
      </w:r>
      <w:r w:rsidRPr="00D3597A">
        <w:rPr>
          <w:rFonts w:ascii="Times New Roman" w:hAnsi="Times New Roman" w:cs="Times New Roman"/>
          <w:sz w:val="24"/>
          <w:szCs w:val="24"/>
          <w:lang w:val="en-US"/>
        </w:rPr>
        <w:tab/>
        <w:t>Promethazine is a first-generation antihistamine pharmaceutical.</w:t>
      </w:r>
    </w:p>
    <w:p w14:paraId="374A3F8E"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33.</w:t>
      </w:r>
      <w:r w:rsidRPr="00D3597A">
        <w:rPr>
          <w:rFonts w:ascii="Times New Roman" w:hAnsi="Times New Roman" w:cs="Times New Roman"/>
          <w:sz w:val="24"/>
          <w:szCs w:val="24"/>
          <w:lang w:val="en-US"/>
        </w:rPr>
        <w:tab/>
        <w:t>Tafluprost is a prostaglandin analogue.</w:t>
      </w:r>
    </w:p>
    <w:p w14:paraId="36750866"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34.</w:t>
      </w:r>
      <w:r w:rsidRPr="00D3597A">
        <w:rPr>
          <w:rFonts w:ascii="Times New Roman" w:hAnsi="Times New Roman" w:cs="Times New Roman"/>
          <w:sz w:val="24"/>
          <w:szCs w:val="24"/>
          <w:lang w:val="en-US"/>
        </w:rPr>
        <w:tab/>
        <w:t>Boldenone is an anabolic androgenic steroid and synthetic derivative of testosterone</w:t>
      </w:r>
    </w:p>
    <w:p w14:paraId="42D00B6B"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35.</w:t>
      </w:r>
      <w:r w:rsidRPr="00D3597A">
        <w:rPr>
          <w:rFonts w:ascii="Times New Roman" w:hAnsi="Times New Roman" w:cs="Times New Roman"/>
          <w:sz w:val="24"/>
          <w:szCs w:val="24"/>
          <w:lang w:val="en-US"/>
        </w:rPr>
        <w:tab/>
        <w:t>Buspirone is an anxiolytic psychotropic drug.</w:t>
      </w:r>
    </w:p>
    <w:p w14:paraId="4252E3F5"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36.</w:t>
      </w:r>
      <w:r w:rsidRPr="00D3597A">
        <w:rPr>
          <w:rFonts w:ascii="Times New Roman" w:hAnsi="Times New Roman" w:cs="Times New Roman"/>
          <w:sz w:val="24"/>
          <w:szCs w:val="24"/>
          <w:lang w:val="en-US"/>
        </w:rPr>
        <w:tab/>
        <w:t>Barbiturates (synthetic drugs very well known to the common public) are reported 12 times in Table S1.</w:t>
      </w:r>
    </w:p>
    <w:p w14:paraId="010010EA" w14:textId="77777777" w:rsidR="00B9565E" w:rsidRPr="00D3597A" w:rsidRDefault="00B9565E" w:rsidP="00B9565E">
      <w:pPr>
        <w:rPr>
          <w:rFonts w:ascii="Times New Roman" w:hAnsi="Times New Roman" w:cs="Times New Roman"/>
          <w:sz w:val="24"/>
          <w:szCs w:val="24"/>
          <w:lang w:val="en-US"/>
        </w:rPr>
      </w:pPr>
    </w:p>
    <w:p w14:paraId="7A958B7D" w14:textId="77777777" w:rsidR="00B9565E" w:rsidRPr="00D3597A" w:rsidRDefault="00B9565E" w:rsidP="00B9565E">
      <w:pPr>
        <w:rPr>
          <w:rFonts w:ascii="Times New Roman" w:hAnsi="Times New Roman" w:cs="Times New Roman"/>
          <w:b/>
          <w:bCs/>
          <w:sz w:val="24"/>
          <w:szCs w:val="24"/>
          <w:lang w:val="en-US"/>
        </w:rPr>
      </w:pPr>
      <w:r w:rsidRPr="00D3597A">
        <w:rPr>
          <w:rFonts w:ascii="Times New Roman" w:hAnsi="Times New Roman" w:cs="Times New Roman"/>
          <w:b/>
          <w:bCs/>
          <w:sz w:val="24"/>
          <w:szCs w:val="24"/>
          <w:lang w:val="en-US"/>
        </w:rPr>
        <w:t>Section 2. Chromatographically Implausible Entries</w:t>
      </w:r>
    </w:p>
    <w:p w14:paraId="56153A3D"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 xml:space="preserve">General comment: Reporting of retention in liquid chromatography in seconds is not normal practice (generally minutes are used) and the accuracy of the reported </w:t>
      </w:r>
      <w:r w:rsidRPr="00D3597A">
        <w:rPr>
          <w:rFonts w:ascii="Times New Roman" w:hAnsi="Times New Roman" w:cs="Times New Roman"/>
          <w:sz w:val="24"/>
          <w:szCs w:val="24"/>
          <w:lang w:val="en-US"/>
        </w:rPr>
        <w:lastRenderedPageBreak/>
        <w:t xml:space="preserve">retention times (five digits of a second i.e. 607.07938 sec) is meaningless with the accuracy of the LC methods reported (fluctuations in the first two decimal places of RTs given in minutes is expected). </w:t>
      </w:r>
    </w:p>
    <w:p w14:paraId="076816E5" w14:textId="77777777" w:rsidR="00B9565E" w:rsidRPr="00D3597A" w:rsidRDefault="00B9565E" w:rsidP="00B9565E">
      <w:pPr>
        <w:rPr>
          <w:rFonts w:ascii="Times New Roman" w:hAnsi="Times New Roman" w:cs="Times New Roman"/>
          <w:b/>
          <w:bCs/>
          <w:sz w:val="24"/>
          <w:szCs w:val="24"/>
          <w:lang w:val="en-US"/>
        </w:rPr>
      </w:pPr>
      <w:r w:rsidRPr="00D3597A">
        <w:rPr>
          <w:rFonts w:ascii="Times New Roman" w:hAnsi="Times New Roman" w:cs="Times New Roman"/>
          <w:b/>
          <w:bCs/>
          <w:sz w:val="24"/>
          <w:szCs w:val="24"/>
          <w:lang w:val="en-US"/>
        </w:rPr>
        <w:t>Tryptophan</w:t>
      </w:r>
    </w:p>
    <w:p w14:paraId="3F4315C6"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Line 10 Dl-Tryptophan with retention time 1666.06304 sec.</w:t>
      </w:r>
    </w:p>
    <w:p w14:paraId="0BA72AD1"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Line 12 D(+)-Tryptophan with retention time 607.07938 sec.</w:t>
      </w:r>
    </w:p>
    <w:p w14:paraId="27225E42"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a.</w:t>
      </w:r>
      <w:r w:rsidRPr="00D3597A">
        <w:rPr>
          <w:rFonts w:ascii="Times New Roman" w:hAnsi="Times New Roman" w:cs="Times New Roman"/>
          <w:sz w:val="24"/>
          <w:szCs w:val="24"/>
          <w:lang w:val="en-US"/>
        </w:rPr>
        <w:tab/>
        <w:t xml:space="preserve">The use of the prefixes “DL” and “D” presumably refer to the optical enantiomers of tryptophan. However, if a chiral separation was indeed used it is not described in the experimental section. Conventional LC separations do not resolve </w:t>
      </w:r>
      <w:proofErr w:type="gramStart"/>
      <w:r w:rsidRPr="00D3597A">
        <w:rPr>
          <w:rFonts w:ascii="Times New Roman" w:hAnsi="Times New Roman" w:cs="Times New Roman"/>
          <w:sz w:val="24"/>
          <w:szCs w:val="24"/>
          <w:lang w:val="en-US"/>
        </w:rPr>
        <w:t>enantiomers</w:t>
      </w:r>
      <w:proofErr w:type="gramEnd"/>
      <w:r w:rsidRPr="00D3597A">
        <w:rPr>
          <w:rFonts w:ascii="Times New Roman" w:hAnsi="Times New Roman" w:cs="Times New Roman"/>
          <w:sz w:val="24"/>
          <w:szCs w:val="24"/>
          <w:lang w:val="en-US"/>
        </w:rPr>
        <w:t xml:space="preserve"> and no supporting information is provided to support these identifications. </w:t>
      </w:r>
    </w:p>
    <w:p w14:paraId="6C86C4A5" w14:textId="0B78B588"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b.</w:t>
      </w:r>
      <w:r w:rsidRPr="00D3597A">
        <w:rPr>
          <w:rFonts w:ascii="Times New Roman" w:hAnsi="Times New Roman" w:cs="Times New Roman"/>
          <w:sz w:val="24"/>
          <w:szCs w:val="24"/>
          <w:lang w:val="en-US"/>
        </w:rPr>
        <w:tab/>
      </w:r>
      <w:r w:rsidRPr="00D3597A">
        <w:rPr>
          <w:rFonts w:ascii="Times New Roman" w:hAnsi="Times New Roman" w:cs="Times New Roman"/>
          <w:color w:val="000000" w:themeColor="text1"/>
          <w:sz w:val="24"/>
          <w:szCs w:val="24"/>
          <w:lang w:val="en-US"/>
        </w:rPr>
        <w:t xml:space="preserve">From the </w:t>
      </w:r>
      <w:r w:rsidR="0002701C" w:rsidRPr="00D3597A">
        <w:rPr>
          <w:rFonts w:ascii="Times New Roman" w:hAnsi="Times New Roman" w:cs="Times New Roman"/>
          <w:color w:val="000000" w:themeColor="text1"/>
          <w:sz w:val="24"/>
          <w:szCs w:val="24"/>
          <w:lang w:val="en-US"/>
        </w:rPr>
        <w:t xml:space="preserve">Supplementary </w:t>
      </w:r>
      <w:r w:rsidR="0002701C" w:rsidRPr="00D3597A">
        <w:rPr>
          <w:rFonts w:ascii="Times New Roman" w:hAnsi="Times New Roman" w:cs="Times New Roman"/>
          <w:b/>
          <w:bCs/>
          <w:color w:val="000000" w:themeColor="text1"/>
          <w:sz w:val="24"/>
          <w:szCs w:val="24"/>
          <w:lang w:val="en-US"/>
        </w:rPr>
        <w:t>T</w:t>
      </w:r>
      <w:r w:rsidRPr="00D3597A">
        <w:rPr>
          <w:rFonts w:ascii="Times New Roman" w:hAnsi="Times New Roman" w:cs="Times New Roman"/>
          <w:b/>
          <w:bCs/>
          <w:color w:val="000000" w:themeColor="text1"/>
          <w:sz w:val="24"/>
          <w:szCs w:val="24"/>
          <w:lang w:val="en-US"/>
        </w:rPr>
        <w:t>able</w:t>
      </w:r>
      <w:r w:rsidR="0002701C" w:rsidRPr="00D3597A">
        <w:rPr>
          <w:rFonts w:ascii="Times New Roman" w:hAnsi="Times New Roman" w:cs="Times New Roman"/>
          <w:b/>
          <w:bCs/>
          <w:color w:val="000000" w:themeColor="text1"/>
          <w:sz w:val="24"/>
          <w:szCs w:val="24"/>
          <w:lang w:val="en-US"/>
        </w:rPr>
        <w:t xml:space="preserve"> S1</w:t>
      </w:r>
      <w:r w:rsidRPr="00D3597A">
        <w:rPr>
          <w:rFonts w:ascii="Times New Roman" w:hAnsi="Times New Roman" w:cs="Times New Roman"/>
          <w:color w:val="000000" w:themeColor="text1"/>
          <w:sz w:val="24"/>
          <w:szCs w:val="24"/>
          <w:lang w:val="en-US"/>
        </w:rPr>
        <w:t xml:space="preserve"> </w:t>
      </w:r>
      <w:r w:rsidR="0002701C" w:rsidRPr="00D3597A">
        <w:rPr>
          <w:rFonts w:ascii="Times New Roman" w:hAnsi="Times New Roman" w:cs="Times New Roman"/>
          <w:color w:val="000000" w:themeColor="text1"/>
          <w:sz w:val="24"/>
          <w:szCs w:val="24"/>
          <w:lang w:val="en-US"/>
        </w:rPr>
        <w:t xml:space="preserve">provided by the authors with their manuscript </w:t>
      </w:r>
      <w:r w:rsidRPr="00D3597A">
        <w:rPr>
          <w:rFonts w:ascii="Times New Roman" w:hAnsi="Times New Roman" w:cs="Times New Roman"/>
          <w:sz w:val="24"/>
          <w:szCs w:val="24"/>
          <w:lang w:val="en-US"/>
        </w:rPr>
        <w:t>it would appear that the authors first report the detection of the unresolved DL racemic mixture in line 1 followed by the D enantiomer alone on line 12. This result is not possible.</w:t>
      </w:r>
    </w:p>
    <w:p w14:paraId="0932D067"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c.</w:t>
      </w:r>
      <w:r w:rsidRPr="00D3597A">
        <w:rPr>
          <w:rFonts w:ascii="Times New Roman" w:hAnsi="Times New Roman" w:cs="Times New Roman"/>
          <w:sz w:val="24"/>
          <w:szCs w:val="24"/>
          <w:lang w:val="en-US"/>
        </w:rPr>
        <w:tab/>
        <w:t xml:space="preserve">The retention times are reported to five decimal places of accuracy, which is not achievable with the LC separation used. When reported in seconds, a maximum of one decimal place would be appropriate, or even integer digits. </w:t>
      </w:r>
    </w:p>
    <w:p w14:paraId="7D71A69A" w14:textId="77777777" w:rsidR="00B9565E" w:rsidRPr="00D3597A" w:rsidRDefault="00B9565E" w:rsidP="00B9565E">
      <w:pPr>
        <w:rPr>
          <w:rFonts w:ascii="Times New Roman" w:hAnsi="Times New Roman" w:cs="Times New Roman"/>
          <w:b/>
          <w:bCs/>
          <w:sz w:val="24"/>
          <w:szCs w:val="24"/>
          <w:lang w:val="en-US"/>
        </w:rPr>
      </w:pPr>
      <w:r w:rsidRPr="00D3597A">
        <w:rPr>
          <w:rFonts w:ascii="Times New Roman" w:hAnsi="Times New Roman" w:cs="Times New Roman"/>
          <w:b/>
          <w:bCs/>
          <w:sz w:val="24"/>
          <w:szCs w:val="24"/>
          <w:lang w:val="en-US"/>
        </w:rPr>
        <w:t>Alanine</w:t>
      </w:r>
    </w:p>
    <w:p w14:paraId="0C116214"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Lines 1864, 1996, 3654 and 5779 all report the analyte as alanine, a well-known amino acid. The retention times are 196, 960, 641 and 74 seconds respectively (again with 5 digits accuracy). Lines 1864 and 5779 report use of a T3 column (RPLC). Lines 1996 and 3654 report use of a HILIC column. It is unclear why one molecule appears at two very different retention times (196 and 74 sec on HILIC, 960 and 641 sec on RP) when the same column, and thus same chemistry is used for separation. This should be a cause for concern and clear explanation. Given that alanine is readily available as a standard these annotations could (and indeed should) have been confirmed to level 1 of the MSI, at which stage it would be clear which, if either, of the annotations were correct per column.</w:t>
      </w:r>
    </w:p>
    <w:p w14:paraId="11EC3DC2"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Glucose</w:t>
      </w:r>
    </w:p>
    <w:p w14:paraId="2F0A0090"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Lines 1734 and 3792 report detection of glucose on T3 and HILIC columns with corresponding retention times 1580 and 150 seconds, respectively. This result is in contrast to well established data and the experience of the chromatographic community that is explained by the physicochemical properties of the analytes and the chromatographic theory that governs such separations that dictates that glucose should be better (more strongly) retained on the HILIC column. Again, glucose (more accurately D-glucose) is readily available as a standard and as such this should have been confirmed to level 1 of the MSI.</w:t>
      </w:r>
    </w:p>
    <w:p w14:paraId="2DC459EC"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Further examples</w:t>
      </w:r>
    </w:p>
    <w:p w14:paraId="60BA82C2"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lastRenderedPageBreak/>
        <w:t>1.</w:t>
      </w:r>
      <w:r w:rsidRPr="00D3597A">
        <w:rPr>
          <w:rFonts w:ascii="Times New Roman" w:hAnsi="Times New Roman" w:cs="Times New Roman"/>
          <w:sz w:val="24"/>
          <w:szCs w:val="24"/>
          <w:lang w:val="en-US"/>
        </w:rPr>
        <w:tab/>
        <w:t xml:space="preserve">Lines 1416 and 1418 report 2-hydroxy-dAMP and 3'-AMP with retention times of 1559.8637 and 1628.89768 sec, respectively, on the T3 column, an RPLC phase. Line 1296 reports progesterone with retention time 1666.68878 sec, line 14 reports cholic acid at 1421.88072 sec. AMP is very polar while progesterone and cholic acid are very apolar. Such molecules cannot elute at similar retention times, nor is it likely that apolar molecules elute before the polar molecules on RPLC. This goes against fundamental knowledge on the physicochemical basis of chromatography and against the experience of practitioners of liquid chromatography.  </w:t>
      </w:r>
    </w:p>
    <w:p w14:paraId="6E372603"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w:t>
      </w:r>
      <w:r w:rsidRPr="00D3597A">
        <w:rPr>
          <w:rFonts w:ascii="Times New Roman" w:hAnsi="Times New Roman" w:cs="Times New Roman"/>
          <w:sz w:val="24"/>
          <w:szCs w:val="24"/>
          <w:lang w:val="en-US"/>
        </w:rPr>
        <w:tab/>
        <w:t xml:space="preserve">Lines 1884-1886 report 8-hydroxypromazine eluting at 7.22098 sec, 4-hydroxypromazine at 1613.21948 sec, and 3-hydroxypromazine at 1650.44432 sec.  These are unrealistic retention time differences between the three analogues. </w:t>
      </w:r>
    </w:p>
    <w:p w14:paraId="54BA439D" w14:textId="6DD94FA0"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w:t>
      </w:r>
      <w:r w:rsidRPr="00D3597A">
        <w:rPr>
          <w:rFonts w:ascii="Times New Roman" w:hAnsi="Times New Roman" w:cs="Times New Roman"/>
          <w:sz w:val="24"/>
          <w:szCs w:val="24"/>
          <w:lang w:val="en-US"/>
        </w:rPr>
        <w:tab/>
        <w:t>Lines 3244-3246 report the following compounds and retention times: (E,E)-2,4-</w:t>
      </w:r>
      <w:r w:rsidR="006276F0" w:rsidRPr="00D3597A">
        <w:rPr>
          <w:rFonts w:ascii="Times New Roman" w:hAnsi="Times New Roman" w:cs="Times New Roman"/>
          <w:sz w:val="24"/>
          <w:szCs w:val="24"/>
          <w:lang w:val="en-US"/>
        </w:rPr>
        <w:t>o</w:t>
      </w:r>
      <w:r w:rsidRPr="00D3597A">
        <w:rPr>
          <w:rFonts w:ascii="Times New Roman" w:hAnsi="Times New Roman" w:cs="Times New Roman"/>
          <w:sz w:val="24"/>
          <w:szCs w:val="24"/>
          <w:lang w:val="en-US"/>
        </w:rPr>
        <w:t>ctadienal (893.2629 sec), (E,E)-2,6-</w:t>
      </w:r>
      <w:r w:rsidR="006276F0" w:rsidRPr="00D3597A">
        <w:rPr>
          <w:rFonts w:ascii="Times New Roman" w:hAnsi="Times New Roman" w:cs="Times New Roman"/>
          <w:sz w:val="24"/>
          <w:szCs w:val="24"/>
          <w:lang w:val="en-US"/>
        </w:rPr>
        <w:t>o</w:t>
      </w:r>
      <w:r w:rsidRPr="00D3597A">
        <w:rPr>
          <w:rFonts w:ascii="Times New Roman" w:hAnsi="Times New Roman" w:cs="Times New Roman"/>
          <w:sz w:val="24"/>
          <w:szCs w:val="24"/>
          <w:lang w:val="en-US"/>
        </w:rPr>
        <w:t>ctadienal (954.97398 sec) and (E,Z)-2,4-</w:t>
      </w:r>
      <w:r w:rsidR="006276F0" w:rsidRPr="00D3597A">
        <w:rPr>
          <w:rFonts w:ascii="Times New Roman" w:hAnsi="Times New Roman" w:cs="Times New Roman"/>
          <w:sz w:val="24"/>
          <w:szCs w:val="24"/>
          <w:lang w:val="en-US"/>
        </w:rPr>
        <w:t>h</w:t>
      </w:r>
      <w:r w:rsidRPr="00D3597A">
        <w:rPr>
          <w:rFonts w:ascii="Times New Roman" w:hAnsi="Times New Roman" w:cs="Times New Roman"/>
          <w:sz w:val="24"/>
          <w:szCs w:val="24"/>
          <w:lang w:val="en-US"/>
        </w:rPr>
        <w:t xml:space="preserve">eptadienal (898.65374 sec). The level of identification sophistication should be justified with data. Furthermore, the elution order is unrealistic. Heptadienal has a shorter carbon chain than the others and should be eluted before the octadienals in RPLC.  </w:t>
      </w:r>
    </w:p>
    <w:p w14:paraId="08C0C810"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4.</w:t>
      </w:r>
      <w:r w:rsidRPr="00D3597A">
        <w:rPr>
          <w:rFonts w:ascii="Times New Roman" w:hAnsi="Times New Roman" w:cs="Times New Roman"/>
          <w:sz w:val="24"/>
          <w:szCs w:val="24"/>
          <w:lang w:val="en-US"/>
        </w:rPr>
        <w:tab/>
        <w:t xml:space="preserve">Further down in line 3255 is: (S)-Malate 2134.56458 sec. There is no case for this elution order as malic acid is very polar and should elute before both octadienal and heptadienal, certainly not with more than double retention time compared to them. </w:t>
      </w:r>
    </w:p>
    <w:p w14:paraId="66C7C21C" w14:textId="11A80318"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5.</w:t>
      </w:r>
      <w:r w:rsidRPr="00D3597A">
        <w:rPr>
          <w:rFonts w:ascii="Times New Roman" w:hAnsi="Times New Roman" w:cs="Times New Roman"/>
          <w:sz w:val="24"/>
          <w:szCs w:val="24"/>
          <w:lang w:val="en-US"/>
        </w:rPr>
        <w:tab/>
        <w:t>Lines 5216 and 5218 report testosterone at 1321.00939 sec and testosterone glucuronide at 1397.23774. Basic chromatographic knowledge and experience would lead to the expectation that the glucuronide elutes before the parent compound in RPLC as it is more polar. The same applies to Cholesterol</w:t>
      </w:r>
      <w:r w:rsidR="006276F0" w:rsidRPr="00D3597A">
        <w:rPr>
          <w:rFonts w:ascii="Times New Roman" w:hAnsi="Times New Roman" w:cs="Times New Roman"/>
          <w:sz w:val="24"/>
          <w:szCs w:val="24"/>
          <w:lang w:val="en-US"/>
        </w:rPr>
        <w:t xml:space="preserve"> </w:t>
      </w:r>
      <w:r w:rsidRPr="00D3597A">
        <w:rPr>
          <w:rFonts w:ascii="Times New Roman" w:hAnsi="Times New Roman" w:cs="Times New Roman"/>
          <w:sz w:val="24"/>
          <w:szCs w:val="24"/>
          <w:lang w:val="en-US"/>
        </w:rPr>
        <w:t>(1411.34714 sec) and cholesterol glucuronide (2120.74552 sec).</w:t>
      </w:r>
    </w:p>
    <w:p w14:paraId="186EA423"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6.</w:t>
      </w:r>
      <w:r w:rsidRPr="00D3597A">
        <w:rPr>
          <w:rFonts w:ascii="Times New Roman" w:hAnsi="Times New Roman" w:cs="Times New Roman"/>
          <w:sz w:val="24"/>
          <w:szCs w:val="24"/>
          <w:lang w:val="en-US"/>
        </w:rPr>
        <w:tab/>
        <w:t xml:space="preserve">Similarly, lines 5217 and 5219 report testosterone decanoate at 1495.00888 sec and testosterone propionate at 1802.63524 sec. The decanoate ester is more lipophilic than the propionate and should elute later. </w:t>
      </w:r>
    </w:p>
    <w:p w14:paraId="679B7EC5" w14:textId="77777777" w:rsidR="00B9565E" w:rsidRPr="00D3597A" w:rsidRDefault="00B9565E" w:rsidP="00B9565E">
      <w:pPr>
        <w:rPr>
          <w:rFonts w:ascii="Times New Roman" w:hAnsi="Times New Roman" w:cs="Times New Roman"/>
          <w:sz w:val="24"/>
          <w:szCs w:val="24"/>
          <w:lang w:val="en-US"/>
        </w:rPr>
      </w:pPr>
    </w:p>
    <w:p w14:paraId="535B4446" w14:textId="3B195D7B" w:rsidR="00B9565E" w:rsidRPr="00D3597A" w:rsidRDefault="00B9565E" w:rsidP="00B9565E">
      <w:pPr>
        <w:rPr>
          <w:rFonts w:ascii="Times New Roman" w:hAnsi="Times New Roman" w:cs="Times New Roman"/>
          <w:b/>
          <w:bCs/>
          <w:color w:val="000000" w:themeColor="text1"/>
          <w:sz w:val="24"/>
          <w:szCs w:val="24"/>
          <w:lang w:val="en-US"/>
        </w:rPr>
      </w:pPr>
      <w:r w:rsidRPr="00D3597A">
        <w:rPr>
          <w:rFonts w:ascii="Times New Roman" w:hAnsi="Times New Roman" w:cs="Times New Roman"/>
          <w:b/>
          <w:bCs/>
          <w:sz w:val="24"/>
          <w:szCs w:val="24"/>
          <w:lang w:val="en-US"/>
        </w:rPr>
        <w:t xml:space="preserve">Section 3. Unexpected Identifications for </w:t>
      </w:r>
      <w:r w:rsidRPr="00D3597A">
        <w:rPr>
          <w:rFonts w:ascii="Times New Roman" w:hAnsi="Times New Roman" w:cs="Times New Roman"/>
          <w:b/>
          <w:bCs/>
          <w:color w:val="000000" w:themeColor="text1"/>
          <w:sz w:val="24"/>
          <w:szCs w:val="24"/>
          <w:lang w:val="en-US"/>
        </w:rPr>
        <w:t>LC</w:t>
      </w:r>
      <w:r w:rsidR="00E43BA3" w:rsidRPr="00D3597A">
        <w:rPr>
          <w:rFonts w:ascii="Times New Roman" w:hAnsi="Times New Roman" w:cs="Times New Roman"/>
          <w:b/>
          <w:bCs/>
          <w:color w:val="000000" w:themeColor="text1"/>
          <w:sz w:val="24"/>
          <w:szCs w:val="24"/>
          <w:lang w:val="en-US"/>
        </w:rPr>
        <w:t>-MS</w:t>
      </w:r>
    </w:p>
    <w:p w14:paraId="6F57232B" w14:textId="77777777" w:rsidR="00B9565E" w:rsidRPr="00D3597A" w:rsidRDefault="00B9565E" w:rsidP="00B9565E">
      <w:pPr>
        <w:rPr>
          <w:rFonts w:ascii="Times New Roman" w:hAnsi="Times New Roman" w:cs="Times New Roman"/>
          <w:sz w:val="24"/>
          <w:szCs w:val="24"/>
          <w:lang w:val="en-US"/>
        </w:rPr>
      </w:pPr>
    </w:p>
    <w:p w14:paraId="7CED1E7B" w14:textId="01A54D1B"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w:t>
      </w:r>
      <w:r w:rsidRPr="00D3597A">
        <w:rPr>
          <w:rFonts w:ascii="Times New Roman" w:hAnsi="Times New Roman" w:cs="Times New Roman"/>
          <w:sz w:val="24"/>
          <w:szCs w:val="24"/>
          <w:lang w:val="en-US"/>
        </w:rPr>
        <w:tab/>
        <w:t xml:space="preserve">Line 1376: HSO3-; Line 1394: Sulfate; Line 1395: phosphoric acid; Line 2717, </w:t>
      </w:r>
      <w:r w:rsidR="006276F0" w:rsidRPr="00D3597A">
        <w:rPr>
          <w:rFonts w:ascii="Times New Roman" w:hAnsi="Times New Roman" w:cs="Times New Roman"/>
          <w:sz w:val="24"/>
          <w:szCs w:val="24"/>
          <w:lang w:val="en-US"/>
        </w:rPr>
        <w:t>i</w:t>
      </w:r>
      <w:r w:rsidRPr="00D3597A">
        <w:rPr>
          <w:rFonts w:ascii="Times New Roman" w:hAnsi="Times New Roman" w:cs="Times New Roman"/>
          <w:sz w:val="24"/>
          <w:szCs w:val="24"/>
          <w:lang w:val="en-US"/>
        </w:rPr>
        <w:t xml:space="preserve">odide; Line 5228: thioacetate. These substances are barely retained and thus are really not detectable in RPLC. </w:t>
      </w:r>
    </w:p>
    <w:p w14:paraId="2FB74A3F"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w:t>
      </w:r>
      <w:r w:rsidRPr="00D3597A">
        <w:rPr>
          <w:rFonts w:ascii="Times New Roman" w:hAnsi="Times New Roman" w:cs="Times New Roman"/>
          <w:sz w:val="24"/>
          <w:szCs w:val="24"/>
          <w:lang w:val="en-US"/>
        </w:rPr>
        <w:tab/>
        <w:t>Line 3180. Thiourea is very hard to detect in LC-MS. A retention time of 6 sec is not really feasible.</w:t>
      </w:r>
    </w:p>
    <w:p w14:paraId="25A82C94"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3.</w:t>
      </w:r>
      <w:r w:rsidRPr="00D3597A">
        <w:rPr>
          <w:rFonts w:ascii="Times New Roman" w:hAnsi="Times New Roman" w:cs="Times New Roman"/>
          <w:sz w:val="24"/>
          <w:szCs w:val="24"/>
          <w:lang w:val="en-US"/>
        </w:rPr>
        <w:tab/>
        <w:t>Line 1205 identifies the analyte as “Acid”. This is not a proper identification.</w:t>
      </w:r>
    </w:p>
    <w:p w14:paraId="3FC2ED80" w14:textId="77777777" w:rsidR="00B9565E" w:rsidRPr="00D3597A" w:rsidRDefault="00B9565E" w:rsidP="00B9565E">
      <w:pPr>
        <w:rPr>
          <w:rFonts w:ascii="Times New Roman" w:hAnsi="Times New Roman" w:cs="Times New Roman"/>
          <w:b/>
          <w:bCs/>
          <w:sz w:val="24"/>
          <w:szCs w:val="24"/>
          <w:lang w:val="en-US"/>
        </w:rPr>
      </w:pPr>
      <w:r w:rsidRPr="00D3597A">
        <w:rPr>
          <w:rFonts w:ascii="Times New Roman" w:hAnsi="Times New Roman" w:cs="Times New Roman"/>
          <w:b/>
          <w:bCs/>
          <w:sz w:val="24"/>
          <w:szCs w:val="24"/>
          <w:lang w:val="en-US"/>
        </w:rPr>
        <w:t>Section 4. Overly Sophisticated Lipid Identifications</w:t>
      </w:r>
    </w:p>
    <w:p w14:paraId="341E2922" w14:textId="252D0633"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lastRenderedPageBreak/>
        <w:t>This issue of strong overreporting occurr</w:t>
      </w:r>
      <w:r w:rsidR="006276F0" w:rsidRPr="00D3597A">
        <w:rPr>
          <w:rFonts w:ascii="Times New Roman" w:hAnsi="Times New Roman" w:cs="Times New Roman"/>
          <w:sz w:val="24"/>
          <w:szCs w:val="24"/>
          <w:lang w:val="en-US"/>
        </w:rPr>
        <w:t>ed</w:t>
      </w:r>
      <w:r w:rsidRPr="00D3597A">
        <w:rPr>
          <w:rFonts w:ascii="Times New Roman" w:hAnsi="Times New Roman" w:cs="Times New Roman"/>
          <w:sz w:val="24"/>
          <w:szCs w:val="24"/>
          <w:lang w:val="en-US"/>
        </w:rPr>
        <w:t xml:space="preserve"> for many lipid identifications, while the experimental data show the proof for the lipid species level or maybe down to the fatty acyl level. There are so many examples of overreporting that it is impossible to list all of them, two examples are shown below.</w:t>
      </w:r>
    </w:p>
    <w:p w14:paraId="041CCAD5"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1.</w:t>
      </w:r>
      <w:r w:rsidRPr="00D3597A">
        <w:rPr>
          <w:rFonts w:ascii="Times New Roman" w:hAnsi="Times New Roman" w:cs="Times New Roman"/>
          <w:sz w:val="24"/>
          <w:szCs w:val="24"/>
          <w:lang w:val="en-US"/>
        </w:rPr>
        <w:tab/>
        <w:t xml:space="preserve">Lines 4126-4144 report sophisticated structure annotations such as: DG(13:0/20:5(5Z,8Z,11Z,14Z,17Z)/0:0)[iso2]. Such sophistication requires clear evidence and data to support the claim. </w:t>
      </w:r>
    </w:p>
    <w:p w14:paraId="5F9DF9CF" w14:textId="77777777"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2.</w:t>
      </w:r>
      <w:r w:rsidRPr="00D3597A">
        <w:rPr>
          <w:rFonts w:ascii="Times New Roman" w:hAnsi="Times New Roman" w:cs="Times New Roman"/>
          <w:sz w:val="24"/>
          <w:szCs w:val="24"/>
          <w:lang w:val="en-US"/>
        </w:rPr>
        <w:tab/>
        <w:t>(4Z,7Z,10Z,13Z,16Z,19Z)-Docosahexaenoic acid ethyl ester and such structures are reported throughout the Table. Such level of sophistication in terms of lipid structure requires data to support the classification.</w:t>
      </w:r>
    </w:p>
    <w:p w14:paraId="7C0F0619" w14:textId="4B539669" w:rsidR="00B9565E" w:rsidRPr="00D3597A" w:rsidRDefault="00B9565E" w:rsidP="00B9565E">
      <w:pPr>
        <w:rPr>
          <w:rFonts w:ascii="Times New Roman" w:hAnsi="Times New Roman" w:cs="Times New Roman"/>
          <w:sz w:val="24"/>
          <w:szCs w:val="24"/>
          <w:lang w:val="en-US"/>
        </w:rPr>
      </w:pPr>
      <w:r w:rsidRPr="00D3597A">
        <w:rPr>
          <w:rFonts w:ascii="Times New Roman" w:hAnsi="Times New Roman" w:cs="Times New Roman"/>
          <w:sz w:val="24"/>
          <w:szCs w:val="24"/>
          <w:lang w:val="en-US"/>
        </w:rPr>
        <w:t xml:space="preserve">Overall, in the data provided there are dozens of points that appear difficult to accept without justification and need confirmation by real experimental data from the analysis of the reference standard. </w:t>
      </w:r>
    </w:p>
    <w:p w14:paraId="0D063672" w14:textId="45732DEB" w:rsidR="00D3597A" w:rsidRDefault="00D3597A" w:rsidP="00B9565E">
      <w:pPr>
        <w:rPr>
          <w:rFonts w:ascii="Times New Roman" w:hAnsi="Times New Roman" w:cs="Times New Roman"/>
          <w:b/>
          <w:bCs/>
          <w:sz w:val="24"/>
          <w:szCs w:val="24"/>
          <w:lang w:val="en-US"/>
        </w:rPr>
      </w:pPr>
      <w:r w:rsidRPr="00D3597A">
        <w:rPr>
          <w:rFonts w:ascii="Times New Roman" w:hAnsi="Times New Roman" w:cs="Times New Roman"/>
          <w:b/>
          <w:bCs/>
          <w:sz w:val="24"/>
          <w:szCs w:val="24"/>
          <w:lang w:val="en-US"/>
        </w:rPr>
        <w:t>References</w:t>
      </w:r>
    </w:p>
    <w:p w14:paraId="7114A74F" w14:textId="109BC2FC" w:rsidR="00175195" w:rsidRPr="00175195" w:rsidRDefault="00175195" w:rsidP="00175195">
      <w:pPr>
        <w:rPr>
          <w:rFonts w:ascii="Times New Roman" w:eastAsia="Arial" w:hAnsi="Times New Roman" w:cs="Times New Roman"/>
          <w:sz w:val="24"/>
          <w:szCs w:val="24"/>
          <w:lang w:val="en-GB"/>
        </w:rPr>
      </w:pPr>
      <w:r w:rsidRPr="00175195">
        <w:rPr>
          <w:rFonts w:ascii="Times New Roman" w:eastAsia="Arial" w:hAnsi="Times New Roman" w:cs="Times New Roman"/>
          <w:sz w:val="24"/>
          <w:szCs w:val="24"/>
          <w:lang w:val="en-GB"/>
        </w:rPr>
        <w:t>[</w:t>
      </w:r>
      <w:r>
        <w:rPr>
          <w:rFonts w:ascii="Times New Roman" w:eastAsia="Arial" w:hAnsi="Times New Roman" w:cs="Times New Roman"/>
          <w:sz w:val="24"/>
          <w:szCs w:val="24"/>
          <w:lang w:val="en-GB"/>
        </w:rPr>
        <w:t>1</w:t>
      </w:r>
      <w:r w:rsidRPr="00175195">
        <w:rPr>
          <w:rFonts w:ascii="Times New Roman" w:eastAsia="Arial" w:hAnsi="Times New Roman" w:cs="Times New Roman"/>
          <w:sz w:val="24"/>
          <w:szCs w:val="24"/>
          <w:lang w:val="en-GB"/>
        </w:rPr>
        <w:t>] Sumner, L. W., et al. (2007) Proposed minimum reporting standards for chemical analysis Chemical Analysis Working Group (CAWG) Metabolomics Standards Initiative (MSI). Metabolomics, 3, 211– 221,  http//doi.org 10.1007/s11306-007-0082-2</w:t>
      </w:r>
    </w:p>
    <w:p w14:paraId="3E2EB6FB" w14:textId="40A38413" w:rsidR="00175195" w:rsidRDefault="00175195" w:rsidP="00175195">
      <w:pPr>
        <w:rPr>
          <w:rFonts w:ascii="Times New Roman" w:eastAsia="Arial" w:hAnsi="Times New Roman" w:cs="Times New Roman"/>
          <w:sz w:val="24"/>
          <w:szCs w:val="24"/>
          <w:lang w:val="en-GB"/>
        </w:rPr>
      </w:pPr>
      <w:r w:rsidRPr="00175195">
        <w:rPr>
          <w:rFonts w:ascii="Times New Roman" w:eastAsia="Arial" w:hAnsi="Times New Roman" w:cs="Times New Roman"/>
          <w:sz w:val="24"/>
          <w:szCs w:val="24"/>
          <w:lang w:val="en-GB"/>
        </w:rPr>
        <w:t>[</w:t>
      </w:r>
      <w:r>
        <w:rPr>
          <w:rFonts w:ascii="Times New Roman" w:eastAsia="Arial" w:hAnsi="Times New Roman" w:cs="Times New Roman"/>
          <w:sz w:val="24"/>
          <w:szCs w:val="24"/>
          <w:lang w:val="en-GB"/>
        </w:rPr>
        <w:t>2</w:t>
      </w:r>
      <w:r w:rsidRPr="00175195">
        <w:rPr>
          <w:rFonts w:ascii="Times New Roman" w:eastAsia="Arial" w:hAnsi="Times New Roman" w:cs="Times New Roman"/>
          <w:sz w:val="24"/>
          <w:szCs w:val="24"/>
          <w:lang w:val="en-GB"/>
        </w:rPr>
        <w:t xml:space="preserve">] </w:t>
      </w:r>
      <w:proofErr w:type="spellStart"/>
      <w:r w:rsidRPr="00175195">
        <w:rPr>
          <w:rFonts w:ascii="Times New Roman" w:eastAsia="Arial" w:hAnsi="Times New Roman" w:cs="Times New Roman"/>
          <w:sz w:val="24"/>
          <w:szCs w:val="24"/>
          <w:lang w:val="en-GB"/>
        </w:rPr>
        <w:t>Köfeler</w:t>
      </w:r>
      <w:proofErr w:type="spellEnd"/>
      <w:r w:rsidRPr="00175195">
        <w:rPr>
          <w:rFonts w:ascii="Times New Roman" w:eastAsia="Arial" w:hAnsi="Times New Roman" w:cs="Times New Roman"/>
          <w:sz w:val="24"/>
          <w:szCs w:val="24"/>
          <w:lang w:val="en-GB"/>
        </w:rPr>
        <w:t xml:space="preserve"> H.C., et al. (2021), Recommendations for good practice in MS-based </w:t>
      </w:r>
      <w:proofErr w:type="spellStart"/>
      <w:r w:rsidRPr="00175195">
        <w:rPr>
          <w:rFonts w:ascii="Times New Roman" w:eastAsia="Arial" w:hAnsi="Times New Roman" w:cs="Times New Roman"/>
          <w:sz w:val="24"/>
          <w:szCs w:val="24"/>
          <w:lang w:val="en-GB"/>
        </w:rPr>
        <w:t>lipidomicsJ</w:t>
      </w:r>
      <w:proofErr w:type="spellEnd"/>
      <w:r w:rsidRPr="00175195">
        <w:rPr>
          <w:rFonts w:ascii="Times New Roman" w:eastAsia="Arial" w:hAnsi="Times New Roman" w:cs="Times New Roman"/>
          <w:sz w:val="24"/>
          <w:szCs w:val="24"/>
          <w:lang w:val="en-GB"/>
        </w:rPr>
        <w:t>. Lipid Res. 62 100138] 100138. http//doi.org: 10.1016/j.jlr.2021.100138.</w:t>
      </w:r>
    </w:p>
    <w:p w14:paraId="081062A9" w14:textId="3B1981EF" w:rsidR="00D3597A" w:rsidRDefault="00D3597A" w:rsidP="00B9565E">
      <w:pPr>
        <w:rPr>
          <w:lang w:val="en-GB"/>
        </w:rPr>
      </w:pPr>
      <w:r>
        <w:rPr>
          <w:rFonts w:ascii="Times New Roman" w:eastAsia="Arial" w:hAnsi="Times New Roman" w:cs="Times New Roman"/>
          <w:sz w:val="24"/>
          <w:szCs w:val="24"/>
          <w:lang w:val="en-GB"/>
        </w:rPr>
        <w:t>[</w:t>
      </w:r>
      <w:r w:rsidR="00175195">
        <w:rPr>
          <w:rFonts w:ascii="Times New Roman" w:eastAsia="Arial" w:hAnsi="Times New Roman" w:cs="Times New Roman"/>
          <w:sz w:val="24"/>
          <w:szCs w:val="24"/>
          <w:lang w:val="en-GB"/>
        </w:rPr>
        <w:t>3</w:t>
      </w:r>
      <w:r>
        <w:rPr>
          <w:rFonts w:ascii="Times New Roman" w:eastAsia="Arial" w:hAnsi="Times New Roman" w:cs="Times New Roman"/>
          <w:sz w:val="24"/>
          <w:szCs w:val="24"/>
          <w:lang w:val="en-GB"/>
        </w:rPr>
        <w:t xml:space="preserve">] </w:t>
      </w:r>
      <w:r w:rsidRPr="00AB7228">
        <w:rPr>
          <w:rFonts w:ascii="Times New Roman" w:eastAsia="Arial" w:hAnsi="Times New Roman" w:cs="Times New Roman"/>
          <w:sz w:val="24"/>
          <w:szCs w:val="24"/>
        </w:rPr>
        <w:t>Theodoridis,</w:t>
      </w:r>
      <w:r>
        <w:rPr>
          <w:rFonts w:ascii="Times New Roman" w:eastAsia="Arial" w:hAnsi="Times New Roman" w:cs="Times New Roman"/>
          <w:sz w:val="24"/>
          <w:szCs w:val="24"/>
          <w:lang w:val="en-GB"/>
        </w:rPr>
        <w:t xml:space="preserve"> et al</w:t>
      </w:r>
      <w:r w:rsidRPr="00AB7228">
        <w:rPr>
          <w:rFonts w:ascii="Times New Roman" w:eastAsia="Arial" w:hAnsi="Times New Roman" w:cs="Times New Roman"/>
          <w:sz w:val="24"/>
          <w:szCs w:val="24"/>
        </w:rPr>
        <w:t xml:space="preserve"> (2023). Ensuring fact-based metabolite identification in LC-MS-based metabolomics. </w:t>
      </w:r>
      <w:r w:rsidRPr="00AB7228">
        <w:rPr>
          <w:rFonts w:ascii="Times New Roman" w:eastAsia="Arial" w:hAnsi="Times New Roman" w:cs="Times New Roman"/>
          <w:i/>
          <w:iCs/>
          <w:sz w:val="24"/>
          <w:szCs w:val="24"/>
        </w:rPr>
        <w:t>Analytical Chem</w:t>
      </w:r>
      <w:r>
        <w:rPr>
          <w:rFonts w:ascii="Times New Roman" w:eastAsia="Arial" w:hAnsi="Times New Roman" w:cs="Times New Roman"/>
          <w:i/>
          <w:iCs/>
          <w:sz w:val="24"/>
          <w:szCs w:val="24"/>
        </w:rPr>
        <w:t>.</w:t>
      </w:r>
      <w:r w:rsidRPr="00AB7228">
        <w:rPr>
          <w:rFonts w:ascii="Times New Roman" w:eastAsia="Arial" w:hAnsi="Times New Roman" w:cs="Times New Roman"/>
          <w:sz w:val="24"/>
          <w:szCs w:val="24"/>
        </w:rPr>
        <w:t xml:space="preserve">, </w:t>
      </w:r>
      <w:r w:rsidRPr="006006D4">
        <w:rPr>
          <w:rFonts w:ascii="Times New Roman" w:eastAsia="Arial" w:hAnsi="Times New Roman" w:cs="Times New Roman"/>
          <w:i/>
          <w:iCs/>
          <w:sz w:val="24"/>
          <w:szCs w:val="24"/>
        </w:rPr>
        <w:t>95</w:t>
      </w:r>
      <w:r w:rsidRPr="00AB7228">
        <w:rPr>
          <w:rFonts w:ascii="Times New Roman" w:eastAsia="Arial" w:hAnsi="Times New Roman" w:cs="Times New Roman"/>
          <w:sz w:val="24"/>
          <w:szCs w:val="24"/>
        </w:rPr>
        <w:t>, 3909-3916</w:t>
      </w:r>
      <w:r w:rsidRPr="007F6944">
        <w:rPr>
          <w:rFonts w:ascii="Times New Roman" w:eastAsia="Arial" w:hAnsi="Times New Roman" w:cs="Times New Roman"/>
          <w:color w:val="000000" w:themeColor="text1"/>
          <w:sz w:val="24"/>
          <w:szCs w:val="24"/>
        </w:rPr>
        <w:t>.</w:t>
      </w:r>
      <w:r w:rsidRPr="007F6944">
        <w:rPr>
          <w:rFonts w:ascii="Times New Roman" w:hAnsi="Times New Roman" w:cs="Times New Roman"/>
          <w:color w:val="000000" w:themeColor="text1"/>
          <w:sz w:val="24"/>
          <w:szCs w:val="24"/>
        </w:rPr>
        <w:t xml:space="preserve"> </w:t>
      </w:r>
      <w:hyperlink r:id="rId6" w:tooltip="DOI URL" w:history="1">
        <w:r w:rsidRPr="007F6944">
          <w:rPr>
            <w:rFonts w:ascii="Times New Roman" w:hAnsi="Times New Roman" w:cs="Times New Roman"/>
            <w:color w:val="000000" w:themeColor="text1"/>
            <w:sz w:val="24"/>
            <w:szCs w:val="24"/>
            <w:shd w:val="clear" w:color="auto" w:fill="FFFFFF"/>
          </w:rPr>
          <w:t>https://doi.org/10.1021/acs.analchem.2c05192</w:t>
        </w:r>
      </w:hyperlink>
    </w:p>
    <w:p w14:paraId="606D540D" w14:textId="2FCC1100" w:rsidR="00D3597A" w:rsidRDefault="00D3597A" w:rsidP="00D3597A">
      <w:pPr>
        <w:spacing w:before="100" w:beforeAutospacing="1" w:after="100" w:afterAutospacing="1" w:line="240" w:lineRule="auto"/>
        <w:rPr>
          <w:rFonts w:ascii="Times New Roman" w:eastAsia="Arial" w:hAnsi="Times New Roman" w:cs="Times New Roman"/>
          <w:sz w:val="24"/>
          <w:szCs w:val="24"/>
          <w:lang w:val="en-GB"/>
        </w:rPr>
      </w:pPr>
      <w:r>
        <w:rPr>
          <w:rFonts w:ascii="Times New Roman" w:eastAsia="Arial" w:hAnsi="Times New Roman" w:cs="Times New Roman"/>
          <w:sz w:val="24"/>
          <w:szCs w:val="24"/>
          <w:lang w:val="en-GB"/>
        </w:rPr>
        <w:t>[</w:t>
      </w:r>
      <w:r w:rsidR="00175195">
        <w:rPr>
          <w:rFonts w:ascii="Times New Roman" w:eastAsia="Arial" w:hAnsi="Times New Roman" w:cs="Times New Roman"/>
          <w:sz w:val="24"/>
          <w:szCs w:val="24"/>
          <w:lang w:val="en-GB"/>
        </w:rPr>
        <w:t>4</w:t>
      </w:r>
      <w:r>
        <w:rPr>
          <w:rFonts w:ascii="Times New Roman" w:eastAsia="Arial" w:hAnsi="Times New Roman" w:cs="Times New Roman"/>
          <w:sz w:val="24"/>
          <w:szCs w:val="24"/>
          <w:lang w:val="en-GB"/>
        </w:rPr>
        <w:t xml:space="preserve">] </w:t>
      </w:r>
      <w:r w:rsidRPr="00AB7228">
        <w:rPr>
          <w:rFonts w:ascii="Times New Roman" w:eastAsia="Arial" w:hAnsi="Times New Roman" w:cs="Times New Roman"/>
          <w:sz w:val="24"/>
          <w:szCs w:val="24"/>
        </w:rPr>
        <w:t xml:space="preserve">Wilson, I. D., Theodoridis, G., </w:t>
      </w:r>
      <w:r>
        <w:rPr>
          <w:rFonts w:ascii="Times New Roman" w:eastAsia="Arial" w:hAnsi="Times New Roman" w:cs="Times New Roman"/>
          <w:sz w:val="24"/>
          <w:szCs w:val="24"/>
        </w:rPr>
        <w:t xml:space="preserve">&amp; </w:t>
      </w:r>
      <w:r w:rsidRPr="00AB7228">
        <w:rPr>
          <w:rFonts w:ascii="Times New Roman" w:eastAsia="Arial" w:hAnsi="Times New Roman" w:cs="Times New Roman"/>
          <w:sz w:val="24"/>
          <w:szCs w:val="24"/>
        </w:rPr>
        <w:t xml:space="preserve">Virgiliou, C. A. (2021) A perspective on the standards describing mass spectrometry-based metabolic phenotyping (metabolomics/metabonomics) studies in publications. </w:t>
      </w:r>
      <w:r w:rsidRPr="00E147AC">
        <w:rPr>
          <w:rFonts w:ascii="Times New Roman" w:eastAsia="Arial" w:hAnsi="Times New Roman" w:cs="Times New Roman"/>
          <w:i/>
          <w:iCs/>
          <w:sz w:val="24"/>
          <w:szCs w:val="24"/>
        </w:rPr>
        <w:t>J. Chromatogr. B</w:t>
      </w:r>
      <w:r>
        <w:rPr>
          <w:rFonts w:ascii="Times New Roman" w:eastAsia="Arial" w:hAnsi="Times New Roman" w:cs="Times New Roman"/>
          <w:sz w:val="24"/>
          <w:szCs w:val="24"/>
        </w:rPr>
        <w:t>.</w:t>
      </w:r>
      <w:r w:rsidRPr="00E147AC">
        <w:rPr>
          <w:rFonts w:ascii="Times New Roman" w:eastAsia="Arial" w:hAnsi="Times New Roman" w:cs="Times New Roman"/>
          <w:sz w:val="24"/>
          <w:szCs w:val="24"/>
        </w:rPr>
        <w:t xml:space="preserve"> </w:t>
      </w:r>
      <w:r w:rsidRPr="006006D4">
        <w:rPr>
          <w:rFonts w:ascii="Times New Roman" w:eastAsia="Arial" w:hAnsi="Times New Roman" w:cs="Times New Roman"/>
          <w:i/>
          <w:iCs/>
          <w:sz w:val="24"/>
          <w:szCs w:val="24"/>
        </w:rPr>
        <w:t>1164</w:t>
      </w:r>
      <w:r w:rsidRPr="00AB7228">
        <w:rPr>
          <w:rFonts w:ascii="Times New Roman" w:eastAsia="Arial" w:hAnsi="Times New Roman" w:cs="Times New Roman"/>
          <w:sz w:val="24"/>
          <w:szCs w:val="24"/>
        </w:rPr>
        <w:t xml:space="preserve">, 122515,  </w:t>
      </w:r>
      <w:r w:rsidRPr="00913D27">
        <w:rPr>
          <w:rFonts w:ascii="Times New Roman" w:eastAsia="Arial" w:hAnsi="Times New Roman" w:cs="Times New Roman"/>
          <w:sz w:val="24"/>
          <w:szCs w:val="24"/>
        </w:rPr>
        <w:t>http//doi.org/</w:t>
      </w:r>
      <w:r w:rsidRPr="00AB7228">
        <w:rPr>
          <w:rFonts w:ascii="Times New Roman" w:eastAsia="Arial" w:hAnsi="Times New Roman" w:cs="Times New Roman"/>
          <w:sz w:val="24"/>
          <w:szCs w:val="24"/>
        </w:rPr>
        <w:t>10.1016/j.jchromb.2020.122515</w:t>
      </w:r>
    </w:p>
    <w:p w14:paraId="3A4CCA6A" w14:textId="32D1DA70" w:rsidR="00D3597A" w:rsidRDefault="00D3597A" w:rsidP="00D3597A">
      <w:pPr>
        <w:spacing w:before="100" w:beforeAutospacing="1" w:after="100" w:afterAutospacing="1" w:line="240" w:lineRule="auto"/>
        <w:rPr>
          <w:rFonts w:ascii="Times New Roman" w:eastAsia="Arial" w:hAnsi="Times New Roman" w:cs="Times New Roman"/>
          <w:sz w:val="24"/>
          <w:szCs w:val="24"/>
          <w:lang w:val="en-GB"/>
        </w:rPr>
      </w:pPr>
      <w:r>
        <w:rPr>
          <w:rFonts w:ascii="Times New Roman" w:eastAsia="Arial" w:hAnsi="Times New Roman" w:cs="Times New Roman"/>
          <w:sz w:val="24"/>
          <w:szCs w:val="24"/>
          <w:lang w:val="en-GB"/>
        </w:rPr>
        <w:t>[</w:t>
      </w:r>
      <w:r w:rsidR="00175195">
        <w:rPr>
          <w:rFonts w:ascii="Times New Roman" w:eastAsia="Arial" w:hAnsi="Times New Roman" w:cs="Times New Roman"/>
          <w:sz w:val="24"/>
          <w:szCs w:val="24"/>
          <w:lang w:val="en-GB"/>
        </w:rPr>
        <w:t>5</w:t>
      </w:r>
      <w:r>
        <w:rPr>
          <w:rFonts w:ascii="Times New Roman" w:eastAsia="Arial" w:hAnsi="Times New Roman" w:cs="Times New Roman"/>
          <w:sz w:val="24"/>
          <w:szCs w:val="24"/>
          <w:lang w:val="en-GB"/>
        </w:rPr>
        <w:t xml:space="preserve">] </w:t>
      </w:r>
      <w:r w:rsidRPr="00AB7228">
        <w:rPr>
          <w:rFonts w:ascii="Times New Roman" w:eastAsia="Arial" w:hAnsi="Times New Roman" w:cs="Times New Roman"/>
          <w:sz w:val="24"/>
          <w:szCs w:val="24"/>
        </w:rPr>
        <w:t xml:space="preserve">Tian, J., Zhu, X., Wu, H., Wang, Y. </w:t>
      </w:r>
      <w:r>
        <w:rPr>
          <w:rFonts w:ascii="Times New Roman" w:eastAsia="Arial" w:hAnsi="Times New Roman" w:cs="Times New Roman"/>
          <w:sz w:val="24"/>
          <w:szCs w:val="24"/>
        </w:rPr>
        <w:t>&amp;</w:t>
      </w:r>
      <w:r w:rsidRPr="00AB7228">
        <w:rPr>
          <w:rFonts w:ascii="Times New Roman" w:eastAsia="Arial" w:hAnsi="Times New Roman" w:cs="Times New Roman"/>
          <w:sz w:val="24"/>
          <w:szCs w:val="24"/>
        </w:rPr>
        <w:t xml:space="preserve"> Hu, X. (2023). Serum metabolic profile and metabolome genome-wide association study in chicken. </w:t>
      </w:r>
      <w:r w:rsidRPr="00AB7228">
        <w:rPr>
          <w:rFonts w:ascii="Times New Roman" w:eastAsia="Arial" w:hAnsi="Times New Roman" w:cs="Times New Roman"/>
          <w:i/>
          <w:iCs/>
          <w:sz w:val="24"/>
          <w:szCs w:val="24"/>
        </w:rPr>
        <w:t>J. Animal Sci. Biotechnol</w:t>
      </w:r>
      <w:r w:rsidRPr="00AB7228">
        <w:rPr>
          <w:rFonts w:ascii="Times New Roman" w:eastAsia="Arial" w:hAnsi="Times New Roman" w:cs="Times New Roman"/>
          <w:sz w:val="24"/>
          <w:szCs w:val="24"/>
        </w:rPr>
        <w:t xml:space="preserve">. </w:t>
      </w:r>
      <w:r w:rsidRPr="006006D4">
        <w:rPr>
          <w:rFonts w:ascii="Times New Roman" w:eastAsia="Arial" w:hAnsi="Times New Roman" w:cs="Times New Roman"/>
          <w:i/>
          <w:iCs/>
          <w:sz w:val="24"/>
          <w:szCs w:val="24"/>
        </w:rPr>
        <w:t>14</w:t>
      </w:r>
      <w:r w:rsidRPr="00AB7228">
        <w:rPr>
          <w:rFonts w:ascii="Times New Roman" w:eastAsia="Arial" w:hAnsi="Times New Roman" w:cs="Times New Roman"/>
          <w:sz w:val="24"/>
          <w:szCs w:val="24"/>
        </w:rPr>
        <w:t xml:space="preserve">, .69. </w:t>
      </w:r>
      <w:hyperlink r:id="rId7" w:history="1">
        <w:r w:rsidR="000B42EE" w:rsidRPr="00580665">
          <w:rPr>
            <w:rStyle w:val="Hyperlink"/>
            <w:rFonts w:ascii="Times New Roman" w:eastAsia="Arial" w:hAnsi="Times New Roman" w:cs="Times New Roman"/>
            <w:sz w:val="24"/>
            <w:szCs w:val="24"/>
          </w:rPr>
          <w:t>https://doi.org/10.1186/s40104-023-00868-7</w:t>
        </w:r>
      </w:hyperlink>
      <w:r w:rsidRPr="00AB7228">
        <w:rPr>
          <w:rFonts w:ascii="Times New Roman" w:eastAsia="Arial" w:hAnsi="Times New Roman" w:cs="Times New Roman"/>
          <w:sz w:val="24"/>
          <w:szCs w:val="24"/>
        </w:rPr>
        <w:t>.</w:t>
      </w:r>
    </w:p>
    <w:p w14:paraId="2098EE9D" w14:textId="2EFE12F6" w:rsidR="00D3597A" w:rsidRPr="00D3597A" w:rsidRDefault="00D3597A" w:rsidP="00D3597A">
      <w:pPr>
        <w:spacing w:before="100" w:beforeAutospacing="1" w:after="100" w:afterAutospacing="1" w:line="240" w:lineRule="auto"/>
        <w:rPr>
          <w:rFonts w:ascii="Times New Roman" w:eastAsia="Arial" w:hAnsi="Times New Roman" w:cs="Times New Roman"/>
          <w:sz w:val="24"/>
          <w:szCs w:val="24"/>
          <w:lang w:val="en-GB"/>
        </w:rPr>
      </w:pPr>
    </w:p>
    <w:p w14:paraId="2569A1B5" w14:textId="77777777" w:rsidR="00D3597A" w:rsidRPr="00D3597A" w:rsidRDefault="00D3597A" w:rsidP="00B9565E">
      <w:pPr>
        <w:rPr>
          <w:rFonts w:ascii="Times New Roman" w:hAnsi="Times New Roman" w:cs="Times New Roman"/>
          <w:b/>
          <w:bCs/>
          <w:sz w:val="24"/>
          <w:szCs w:val="24"/>
          <w:lang w:val="en-GB"/>
        </w:rPr>
      </w:pPr>
    </w:p>
    <w:sectPr w:rsidR="00D3597A" w:rsidRPr="00D3597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03B1" w14:textId="77777777" w:rsidR="00C3300E" w:rsidRDefault="00C3300E" w:rsidP="007855BD">
      <w:pPr>
        <w:spacing w:after="0" w:line="240" w:lineRule="auto"/>
      </w:pPr>
      <w:r>
        <w:separator/>
      </w:r>
    </w:p>
  </w:endnote>
  <w:endnote w:type="continuationSeparator" w:id="0">
    <w:p w14:paraId="5AF26EDA" w14:textId="77777777" w:rsidR="00C3300E" w:rsidRDefault="00C3300E" w:rsidP="0078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6921" w14:textId="77777777" w:rsidR="007855BD" w:rsidRDefault="00785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408948"/>
      <w:docPartObj>
        <w:docPartGallery w:val="Page Numbers (Bottom of Page)"/>
        <w:docPartUnique/>
      </w:docPartObj>
    </w:sdtPr>
    <w:sdtEndPr>
      <w:rPr>
        <w:noProof/>
      </w:rPr>
    </w:sdtEndPr>
    <w:sdtContent>
      <w:p w14:paraId="1B9E462F" w14:textId="230A682C" w:rsidR="007855BD" w:rsidRDefault="00785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A834C" w14:textId="77777777" w:rsidR="007855BD" w:rsidRDefault="00785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508F" w14:textId="77777777" w:rsidR="007855BD" w:rsidRDefault="0078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F6EE" w14:textId="77777777" w:rsidR="00C3300E" w:rsidRDefault="00C3300E" w:rsidP="007855BD">
      <w:pPr>
        <w:spacing w:after="0" w:line="240" w:lineRule="auto"/>
      </w:pPr>
      <w:r>
        <w:separator/>
      </w:r>
    </w:p>
  </w:footnote>
  <w:footnote w:type="continuationSeparator" w:id="0">
    <w:p w14:paraId="56A53B89" w14:textId="77777777" w:rsidR="00C3300E" w:rsidRDefault="00C3300E" w:rsidP="0078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19A3" w14:textId="77777777" w:rsidR="007855BD" w:rsidRDefault="00785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B1CE" w14:textId="77777777" w:rsidR="007855BD" w:rsidRDefault="00785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ABD4" w14:textId="77777777" w:rsidR="007855BD" w:rsidRDefault="00785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5E"/>
    <w:rsid w:val="0002701C"/>
    <w:rsid w:val="000B42EE"/>
    <w:rsid w:val="000C76ED"/>
    <w:rsid w:val="00175195"/>
    <w:rsid w:val="00204239"/>
    <w:rsid w:val="00243D3D"/>
    <w:rsid w:val="00361766"/>
    <w:rsid w:val="003E3678"/>
    <w:rsid w:val="003F0643"/>
    <w:rsid w:val="004C2259"/>
    <w:rsid w:val="004C3EA5"/>
    <w:rsid w:val="0051684A"/>
    <w:rsid w:val="00535DB0"/>
    <w:rsid w:val="00576A10"/>
    <w:rsid w:val="006276F0"/>
    <w:rsid w:val="007855BD"/>
    <w:rsid w:val="007A3AFF"/>
    <w:rsid w:val="007E4B6F"/>
    <w:rsid w:val="00822D6C"/>
    <w:rsid w:val="00A93B94"/>
    <w:rsid w:val="00AC5A0F"/>
    <w:rsid w:val="00B9565E"/>
    <w:rsid w:val="00C01CCA"/>
    <w:rsid w:val="00C3300E"/>
    <w:rsid w:val="00D11C6C"/>
    <w:rsid w:val="00D212F9"/>
    <w:rsid w:val="00D3597A"/>
    <w:rsid w:val="00E43BA3"/>
    <w:rsid w:val="00F35B02"/>
    <w:rsid w:val="00F707B7"/>
    <w:rsid w:val="00FE75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1B40"/>
  <w15:chartTrackingRefBased/>
  <w15:docId w15:val="{504F63BE-FB46-4A7A-87E5-9F86927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5BD"/>
  </w:style>
  <w:style w:type="paragraph" w:styleId="Footer">
    <w:name w:val="footer"/>
    <w:basedOn w:val="Normal"/>
    <w:link w:val="FooterChar"/>
    <w:uiPriority w:val="99"/>
    <w:unhideWhenUsed/>
    <w:rsid w:val="00785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5BD"/>
  </w:style>
  <w:style w:type="character" w:styleId="Hyperlink">
    <w:name w:val="Hyperlink"/>
    <w:basedOn w:val="DefaultParagraphFont"/>
    <w:uiPriority w:val="99"/>
    <w:unhideWhenUsed/>
    <w:rsid w:val="000B42EE"/>
    <w:rPr>
      <w:color w:val="0563C1" w:themeColor="hyperlink"/>
      <w:u w:val="single"/>
    </w:rPr>
  </w:style>
  <w:style w:type="character" w:styleId="UnresolvedMention">
    <w:name w:val="Unresolved Mention"/>
    <w:basedOn w:val="DefaultParagraphFont"/>
    <w:uiPriority w:val="99"/>
    <w:semiHidden/>
    <w:unhideWhenUsed/>
    <w:rsid w:val="000B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186/s40104-023-00868-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21/acs.analchem.2c0519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Theodoridis</dc:creator>
  <cp:keywords/>
  <dc:description/>
  <cp:lastModifiedBy>Wilson, Ian D</cp:lastModifiedBy>
  <cp:revision>3</cp:revision>
  <dcterms:created xsi:type="dcterms:W3CDTF">2025-10-28T18:55:00Z</dcterms:created>
  <dcterms:modified xsi:type="dcterms:W3CDTF">2025-10-28T18:56:00Z</dcterms:modified>
</cp:coreProperties>
</file>