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0AC" w:rsidRDefault="005250AC" w:rsidP="005250AC">
      <w:pPr>
        <w:jc w:val="both"/>
        <w:rPr>
          <w:rFonts w:cstheme="minorHAnsi"/>
          <w:sz w:val="24"/>
          <w:szCs w:val="24"/>
          <w:lang w:val="en-US"/>
        </w:rPr>
      </w:pPr>
      <w:r>
        <w:rPr>
          <w:rFonts w:cstheme="minorHAnsi"/>
          <w:sz w:val="24"/>
          <w:szCs w:val="24"/>
          <w:lang w:val="en-US"/>
        </w:rPr>
        <w:t xml:space="preserve">HPVDNA status was determined using LCD 3.5 Array Scanner (CHIPRONG, GmbH, Berlin Germany), using manufacturer protocol. P16 immunohistochemistry was performed using the </w:t>
      </w:r>
      <w:proofErr w:type="spellStart"/>
      <w:r>
        <w:rPr>
          <w:rFonts w:cstheme="minorHAnsi"/>
          <w:sz w:val="24"/>
          <w:szCs w:val="24"/>
          <w:lang w:val="en-US"/>
        </w:rPr>
        <w:t>CINTec</w:t>
      </w:r>
      <w:proofErr w:type="spellEnd"/>
      <w:r>
        <w:rPr>
          <w:rFonts w:cstheme="minorHAnsi"/>
          <w:sz w:val="24"/>
          <w:szCs w:val="24"/>
          <w:lang w:val="en-US"/>
        </w:rPr>
        <w:t xml:space="preserve"> Kit (E6HE4) (Roche </w:t>
      </w:r>
      <w:proofErr w:type="spellStart"/>
      <w:r>
        <w:rPr>
          <w:rFonts w:cstheme="minorHAnsi"/>
          <w:sz w:val="24"/>
          <w:szCs w:val="24"/>
          <w:lang w:val="en-US"/>
        </w:rPr>
        <w:t>mtm</w:t>
      </w:r>
      <w:proofErr w:type="spellEnd"/>
      <w:r>
        <w:rPr>
          <w:rFonts w:cstheme="minorHAnsi"/>
          <w:sz w:val="24"/>
          <w:szCs w:val="24"/>
          <w:lang w:val="en-US"/>
        </w:rPr>
        <w:t xml:space="preserve"> Laboratories AG; Basel, Switzerland). Both protocols have been previously described here</w:t>
      </w:r>
      <w:r>
        <w:rPr>
          <w:rFonts w:cstheme="minorHAnsi"/>
          <w:sz w:val="24"/>
          <w:szCs w:val="24"/>
          <w:lang w:val="en-US"/>
        </w:rPr>
        <w:fldChar w:fldCharType="begin" w:fldLock="1"/>
      </w:r>
      <w:r>
        <w:rPr>
          <w:rFonts w:cstheme="minorHAnsi"/>
          <w:sz w:val="24"/>
          <w:szCs w:val="24"/>
          <w:lang w:val="en-US"/>
        </w:rPr>
        <w:instrText>ADDIN CSL_CITATION {"citationItems":[{"id":"ITEM-1","itemData":{"DOI":"10.1016/j.radonc.2014.11.011","ISSN":"01678140","author":[{"dropping-particle":"","family":"Lohaus","given":"Fabian","non-dropping-particle":"","parse-names":false,"suffix":""},{"dropping-particle":"","family":"Linge","given":"Annett","non-dropping-particle":"","parse-names":false,"suffix":""},{"dropping-particle":"","family":"Tinhofer","given":"Inge","non-dropping-particle":"","parse-names":false,"suffix":""},{"dropping-particle":"","family":"Budach","given":"Volker","non-dropping-particle":"","parse-names":false,"suffix":""},{"dropping-particle":"","family":"Gkika","given":"Eleni","non-dropping-particle":"","parse-names":false,"suffix":""},{"dropping-particle":"","family":"Stuschke","given":"Martin","non-dropping-particle":"","parse-names":false,"suffix":""},{"dropping-particle":"","family":"Balermpas","given":"Panagiotis","non-dropping-particle":"","parse-names":false,"suffix":""},{"dropping-particle":"","family":"Rödel","given":"Claus","non-dropping-particle":"","parse-names":false,"suffix":""},{"dropping-particle":"","family":"Avlar","given":"Melanie","non-dropping-particle":"","parse-names":false,"suffix":""},{"dropping-particle":"","family":"Grosu","given":"Anca-Ligia","non-dropping-particle":"","parse-names":false,"suffix":""},{"dropping-particle":"","family":"Abdollahi","given":"Amir","non-dropping-particle":"","parse-names":false,"suffix":""},{"dropping-particle":"","family":"Debus","given":"Jürgen","non-dropping-particle":"","parse-names":false,"suffix":""},{"dropping-particle":"","family":"Bayer","given":"Christine","non-dropping-particle":"","parse-names":false,"suffix":""},{"dropping-particle":"","family":"Belka","given":"Claus","non-dropping-particle":"","parse-names":false,"suffix":""},{"dropping-particle":"","family":"Pigorsch","given":"Steffi","non-dropping-particle":"","parse-names":false,"suffix":""},{"dropping-particle":"","family":"Combs","given":"Stephanie E.","non-dropping-particle":"","parse-names":false,"suffix":""},{"dropping-particle":"","family":"Mönnich","given":"David","non-dropping-particle":"","parse-names":false,"suffix":""},{"dropping-particle":"","family":"Zips","given":"Daniel","non-dropping-particle":"","parse-names":false,"suffix":""},{"dropping-particle":"","family":"Neubeck","given":"Cläre","non-dropping-particle":"von","parse-names":false,"suffix":""},{"dropping-particle":"","family":"Baretton","given":"Gustavo B.","non-dropping-particle":"","parse-names":false,"suffix":""},{"dropping-particle":"","family":"Löck","given":"Steffen","non-dropping-particle":"","parse-names":false,"suffix":""},{"dropping-particle":"","family":"Thames","given":"Howard D.","non-dropping-particle":"","parse-names":false,"suffix":""},{"dropping-particle":"","family":"Krause","given":"Mechthild","non-dropping-particle":"","parse-names":false,"suffix":""},{"dropping-particle":"","family":"Baumann","given":"Michael","non-dropping-particle":"","parse-names":false,"suffix":""}],"container-title":"Radiotherapy and Oncology","id":"ITEM-1","issue":"3","issued":{"date-parts":[["2014","12"]]},"page":"317-323","title":"HPV16 DNA status is a strong prognosticator of loco-regional control after postoperative radiochemotherapy of locally advanced oropharyngeal carcinoma: Results from a multicentre explorative study of the German Cancer Consortium Radiation Oncology Group (DKTK-ROG)","type":"article-journal","volume":"113"},"uris":["http://www.mendeley.com/documents/?uuid=d23bef84-808d-384e-9d12-33e96cd35ceb"]},{"id":"ITEM-2","itemData":{"DOI":"10.1016/j.radonc.2016.11.008","ISSN":"01678140","PMID":"27913065","abstract":"OBJECTIVE To investigate the impact of the tumour volume, HPV status, cancer stem cell (CSC) marker expression and hypoxia gene signatures, as potential markers of radiobiological mechanisms of radioresistance, in a contemporary cohort of patients with locally advanced head and neck squamous cell carcinoma (HNSCC), who received primary radiochemotherapy (RCTx). MATERIALS AND METHODS For 158 patients with locally advanced HNSCC of the oral cavity, oropharynx or hypopharynx who were treated at six DKTK partner sites, the impact of tumour volume, HPV DNA, p16 overexpression, p53 expression, CSC marker expression and hypoxia-associated gene signatures on outcome of primary RCTx was retrospectively analyzed. The primary endpoint of this study was loco-regional control (LRC). RESULTS Univariate Cox regression revealed a significant impact of tumour volume, p16 overexpression, and SLC3A2 and CD44 protein expression on LRC. The tumour hypoxia classification showed a significant impact only for small tumours. In multivariate analyses an independent correlation of tumour volume, SLC3A2 expression, and the 15-gene hypoxia signature with LRC was identified (CD44 protein n/a because of no event in the CD44-negative group). Logistic modelling showed that inclusion of CD44 protein expression and p16 overexpression significantly improved the performance to predict LRC at 2years compared to the model with tumour volume alone. CONCLUSIONS Tumour volume, HPV status, CSC marker expression and hypoxia gene signatures are potential prognostic biomarkers for patients with locally advanced HNSCC, who were treated by primary RCTx. The study also supports that the individual tumour volumes should generally be included in biomarker studies and that panels of biomarkers are superior to individual parameters.","author":[{"dropping-particle":"","family":"Linge","given":"Annett","non-dropping-particle":"","parse-names":false,"suffix":""},{"dropping-particle":"","family":"Lohaus","given":"Fabian","non-dropping-particle":"","parse-names":false,"suffix":""},{"dropping-particle":"","family":"Löck","given":"Steffen","non-dropping-particle":"","parse-names":false,"suffix":""},{"dropping-particle":"","family":"Nowak","given":"Alexander","non-dropping-particle":"","parse-names":false,"suffix":""},{"dropping-particle":"","family":"Gudziol","given":"Volker","non-dropping-particle":"","parse-names":false,"suffix":""},{"dropping-particle":"","family":"Valentini","given":"Chiara","non-dropping-particle":"","parse-names":false,"suffix":""},{"dropping-particle":"","family":"Neubeck","given":"Cläre","non-dropping-particle":"von","parse-names":false,"suffix":""},{"dropping-particle":"","family":"Jütz","given":"Martin","non-dropping-particle":"","parse-names":false,"suffix":""},{"dropping-particle":"","family":"Tinhofer","given":"Inge","non-dropping-particle":"","parse-names":false,"suffix":""},{"dropping-particle":"","family":"Budach","given":"Volker","non-dropping-particle":"","parse-names":false,"suffix":""},{"dropping-particle":"","family":"Sak","given":"Ali","non-dropping-particle":"","parse-names":false,"suffix":""},{"dropping-particle":"","family":"Stuschke","given":"Martin","non-dropping-particle":"","parse-names":false,"suffix":""},{"dropping-particle":"","family":"Balermpas","given":"Panagiotis","non-dropping-particle":"","parse-names":false,"suffix":""},{"dropping-particle":"","family":"Rödel","given":"Claus","non-dropping-particle":"","parse-names":false,"suffix":""},{"dropping-particle":"","family":"Grosu","given":"Anca-Ligia","non-dropping-particle":"","parse-names":false,"suffix":""},{"dropping-particle":"","family":"Abdollahi","given":"Amir","non-dropping-particle":"","parse-names":false,"suffix":""},{"dropping-particle":"","family":"Debus","given":"Jürgen","non-dropping-particle":"","parse-names":false,"suffix":""},{"dropping-particle":"","family":"Ganswindt","given":"Ute","non-dropping-particle":"","parse-names":false,"suffix":""},{"dropping-particle":"","family":"Belka","given":"Claus","non-dropping-particle":"","parse-names":false,"suffix":""},{"dropping-particle":"","family":"Pigorsch","given":"Steffi","non-dropping-particle":"","parse-names":false,"suffix":""},{"dropping-particle":"","family":"Combs","given":"Stephanie E.","non-dropping-particle":"","parse-names":false,"suffix":""},{"dropping-particle":"","family":"Mönnich","given":"David","non-dropping-particle":"","parse-names":false,"suffix":""},{"dropping-particle":"","family":"Zips","given":"Daniel","non-dropping-particle":"","parse-names":false,"suffix":""},{"dropping-particle":"","family":"Buchholz","given":"Frank","non-dropping-particle":"","parse-names":false,"suffix":""},{"dropping-particle":"","family":"Aust","given":"Daniela E.","non-dropping-particle":"","parse-names":false,"suffix":""},{"dropping-particle":"","family":"Baretton","given":"Gustavo B.","non-dropping-particle":"","parse-names":false,"suffix":""},{"dropping-particle":"","family":"Thames","given":"Howard D.","non-dropping-particle":"","parse-names":false,"suffix":""},{"dropping-particle":"","family":"Dubrovska","given":"Anna","non-dropping-particle":"","parse-names":false,"suffix":""},{"dropping-particle":"","family":"Alsner","given":"Jan","non-dropping-particle":"","parse-names":false,"suffix":""},{"dropping-particle":"","family":"Overgaard","given":"Jens","non-dropping-particle":"","parse-names":false,"suffix":""},{"dropping-particle":"","family":"Krause","given":"Mechthild","non-dropping-particle":"","parse-names":false,"suffix":""},{"dropping-particle":"","family":"Baumann","given":"Michael","non-dropping-particle":"","parse-names":false,"suffix":""},{"dropping-particle":"","family":"DKTK-ROG","given":"","non-dropping-particle":"","parse-names":false,"suffix":""}],"container-title":"Radiotherapy and Oncology","id":"ITEM-2","issue":"3","issued":{"date-parts":[["2016","12"]]},"page":"364-373","title":"HPV status, cancer stem cell marker expression, hypoxia gene signatures and tumour volume identify good prognosis subgroups in patients with HNSCC after primary radiochemotherapy: A multicentre retrospective study of the German Cancer Consortium Radiation Oncology Group (DKTK-ROG)","type":"article-journal","volume":"121"},"uris":["http://www.mendeley.com/documents/?uuid=a8bc6b8e-57bd-3dc8-bdd9-ed7049e76347"]}],"mendeley":{"formattedCitation":"[1,2]","plainTextFormattedCitation":"[1,2]","previouslyFormattedCitation":"[1,2]"},"properties":{"noteIndex":0},"schema":"https://github.com/citation-style-language/schema/raw/master/csl-citation.json"}</w:instrText>
      </w:r>
      <w:r>
        <w:rPr>
          <w:rFonts w:cstheme="minorHAnsi"/>
          <w:sz w:val="24"/>
          <w:szCs w:val="24"/>
          <w:lang w:val="en-US"/>
        </w:rPr>
        <w:fldChar w:fldCharType="separate"/>
      </w:r>
      <w:r w:rsidRPr="00F8165A">
        <w:rPr>
          <w:rFonts w:cstheme="minorHAnsi"/>
          <w:noProof/>
          <w:sz w:val="24"/>
          <w:szCs w:val="24"/>
          <w:lang w:val="en-US"/>
        </w:rPr>
        <w:t>[1,2]</w:t>
      </w:r>
      <w:r>
        <w:rPr>
          <w:rFonts w:cstheme="minorHAnsi"/>
          <w:sz w:val="24"/>
          <w:szCs w:val="24"/>
          <w:lang w:val="en-US"/>
        </w:rPr>
        <w:fldChar w:fldCharType="end"/>
      </w:r>
      <w:r>
        <w:rPr>
          <w:rFonts w:cstheme="minorHAnsi"/>
          <w:sz w:val="24"/>
          <w:szCs w:val="24"/>
          <w:lang w:val="en-US"/>
        </w:rPr>
        <w:t xml:space="preserve">, and their prognostic utility was validated against HPV RNA </w:t>
      </w:r>
      <w:proofErr w:type="spellStart"/>
      <w:r>
        <w:rPr>
          <w:rFonts w:cstheme="minorHAnsi"/>
          <w:sz w:val="24"/>
          <w:szCs w:val="24"/>
          <w:lang w:val="en-US"/>
        </w:rPr>
        <w:t>oncoproteins</w:t>
      </w:r>
      <w:proofErr w:type="spellEnd"/>
      <w:r>
        <w:rPr>
          <w:rFonts w:cstheme="minorHAnsi"/>
          <w:sz w:val="24"/>
          <w:szCs w:val="24"/>
          <w:lang w:val="en-US"/>
        </w:rPr>
        <w:fldChar w:fldCharType="begin" w:fldLock="1"/>
      </w:r>
      <w:r>
        <w:rPr>
          <w:rFonts w:cstheme="minorHAnsi"/>
          <w:sz w:val="24"/>
          <w:szCs w:val="24"/>
          <w:lang w:val="en-US"/>
        </w:rPr>
        <w:instrText>ADDIN CSL_CITATION {"citationItems":[{"id":"ITEM-1","itemData":{"DOI":"10.1016/j.radonc.2017.12.007","ISSN":"01678140","PMID":"29295747","abstract":"OBJECTIVE To compare six HPV detection methods in pre-treatment FFPE tumour samples from patients with locally advanced head and neck squamous cell carcinoma (HNSCC) who received postoperative (N = 175) or primary (N = 90) radiochemotherapy. MATERIALS AND METHODS HPV analyses included detection of (i) HPV16 E6/E7 RNA, (ii) HPV16 DNA (PCR-based arrays, A-PCR), (iii) HPV DNA (GP5+/GP6+ qPCR, (GP-PCR)), (iv) p16 (immunohistochemistry, p16 IHC), (v) combining p16 IHC and the A-PCR result and (vi) combining p16 IHC and the GP-PCR result. Differences between HPV positive and negative subgroups were evaluated for the primary endpoint loco-regional control (LRC) using Cox regression. RESULTS Correlation between the HPV detection methods was high (chi-squared test, p &lt; 0.001). While p16 IHC analysis resulted in several false positive classifications, A-PCR, GP-PCR and the combination of p16 IHC and A-PCR or GP-PCR led to results comparable to RNA analysis. In both cohorts, Cox regression analyses revealed significantly prolonged LRC for patients with HPV positive tumours irrespective of the detection method. CONCLUSIONS The most stringent classification was obtained by detection of HPV16 RNA, or combining p16 IHC with A-PCR or GP-PCR. This approach revealed the lowest rate of recurrence in patients with tumours classified as HPV positive and therefore appears most suited for patient stratification in HPV-based clinical studies.","author":[{"dropping-particle":"","family":"Linge","given":"Annett","non-dropping-particle":"","parse-names":false,"suffix":""},{"dropping-particle":"","family":"Schötz","given":"Ulrike","non-dropping-particle":"","parse-names":false,"suffix":""},{"dropping-particle":"","family":"Löck","given":"Steffen","non-dropping-particle":"","parse-names":false,"suffix":""},{"dropping-particle":"","family":"Lohaus","given":"Fabian","non-dropping-particle":"","parse-names":false,"suffix":""},{"dropping-particle":"","family":"Neubeck","given":"Cläre","non-dropping-particle":"von","parse-names":false,"suffix":""},{"dropping-particle":"","family":"Gudziol","given":"Volker","non-dropping-particle":"","parse-names":false,"suffix":""},{"dropping-particle":"","family":"Nowak","given":"Alexander","non-dropping-particle":"","parse-names":false,"suffix":""},{"dropping-particle":"","family":"Tinhofer","given":"Inge","non-dropping-particle":"","parse-names":false,"suffix":""},{"dropping-particle":"","family":"Budach","given":"Volker","non-dropping-particle":"","parse-names":false,"suffix":""},{"dropping-particle":"","family":"Sak","given":"Ali","non-dropping-particle":"","parse-names":false,"suffix":""},{"dropping-particle":"","family":"Stuschke","given":"Martin","non-dropping-particle":"","parse-names":false,"suffix":""},{"dropping-particle":"","family":"Balermpas","given":"Panagiotis","non-dropping-particle":"","parse-names":false,"suffix":""},{"dropping-particle":"","family":"Rödel","given":"Claus","non-dropping-particle":"","parse-names":false,"suffix":""},{"dropping-particle":"","family":"Bunea","given":"Hatice","non-dropping-particle":"","parse-names":false,"suffix":""},{"dropping-particle":"","family":"Grosu","given":"Anca-Ligia","non-dropping-particle":"","parse-names":false,"suffix":""},{"dropping-particle":"","family":"Abdollahi","given":"Amir","non-dropping-particle":"","parse-names":false,"suffix":""},{"dropping-particle":"","family":"Debus","given":"Jürgen","non-dropping-particle":"","parse-names":false,"suffix":""},{"dropping-particle":"","family":"Ganswindt","given":"Ute","non-dropping-particle":"","parse-names":false,"suffix":""},{"dropping-particle":"","family":"Lauber","given":"Kirsten","non-dropping-particle":"","parse-names":false,"suffix":""},{"dropping-particle":"","family":"Pigorsch","given":"Steffi","non-dropping-particle":"","parse-names":false,"suffix":""},{"dropping-particle":"","family":"Combs","given":"Stephanie E.","non-dropping-particle":"","parse-names":false,"suffix":""},{"dropping-particle":"","family":"Mönnich","given":"David","non-dropping-particle":"","parse-names":false,"suffix":""},{"dropping-particle":"","family":"Zips","given":"Daniel","non-dropping-particle":"","parse-names":false,"suffix":""},{"dropping-particle":"","family":"Baretton","given":"Gustavo B.","non-dropping-particle":"","parse-names":false,"suffix":""},{"dropping-particle":"","family":"Buchholz","given":"Frank","non-dropping-particle":"","parse-names":false,"suffix":""},{"dropping-particle":"","family":"Krause","given":"Mechthild","non-dropping-particle":"","parse-names":false,"suffix":""},{"dropping-particle":"","family":"Belka","given":"Claus","non-dropping-particle":"","parse-names":false,"suffix":""},{"dropping-particle":"","family":"Baumann","given":"Michael","non-dropping-particle":"","parse-names":false,"suffix":""},{"dropping-particle":"","family":"DKTK-ROG","given":"","non-dropping-particle":"","parse-names":false,"suffix":""}],"container-title":"Radiotherapy and Oncology","id":"ITEM-1","issue":"1","issued":{"date-parts":[["2018","4"]]},"page":"27-35","title":"Comparison of detection methods for HPV status as a prognostic marker for loco-regional control after radiochemotherapy in patients with HNSCC","type":"article-journal","volume":"127"},"uris":["http://www.mendeley.com/documents/?uuid=f7487c22-9796-34bb-b7d9-25284b3b488c"]}],"mendeley":{"formattedCitation":"[3]","plainTextFormattedCitation":"[3]","previouslyFormattedCitation":"[3]"},"properties":{"noteIndex":0},"schema":"https://github.com/citation-style-language/schema/raw/master/csl-citation.json"}</w:instrText>
      </w:r>
      <w:r>
        <w:rPr>
          <w:rFonts w:cstheme="minorHAnsi"/>
          <w:sz w:val="24"/>
          <w:szCs w:val="24"/>
          <w:lang w:val="en-US"/>
        </w:rPr>
        <w:fldChar w:fldCharType="separate"/>
      </w:r>
      <w:r w:rsidRPr="00F8165A">
        <w:rPr>
          <w:rFonts w:cstheme="minorHAnsi"/>
          <w:noProof/>
          <w:sz w:val="24"/>
          <w:szCs w:val="24"/>
          <w:lang w:val="en-US"/>
        </w:rPr>
        <w:t>[3]</w:t>
      </w:r>
      <w:r>
        <w:rPr>
          <w:rFonts w:cstheme="minorHAnsi"/>
          <w:sz w:val="24"/>
          <w:szCs w:val="24"/>
          <w:lang w:val="en-US"/>
        </w:rPr>
        <w:fldChar w:fldCharType="end"/>
      </w:r>
      <w:r>
        <w:rPr>
          <w:rFonts w:cstheme="minorHAnsi"/>
          <w:sz w:val="24"/>
          <w:szCs w:val="24"/>
          <w:lang w:val="en-US"/>
        </w:rPr>
        <w:t>.</w:t>
      </w:r>
    </w:p>
    <w:p w:rsidR="005250AC" w:rsidRDefault="005250AC" w:rsidP="005250AC">
      <w:pPr>
        <w:pStyle w:val="ListParagraph"/>
        <w:numPr>
          <w:ilvl w:val="0"/>
          <w:numId w:val="1"/>
        </w:numPr>
        <w:jc w:val="both"/>
        <w:rPr>
          <w:rFonts w:cstheme="minorHAnsi"/>
          <w:sz w:val="24"/>
          <w:szCs w:val="24"/>
          <w:lang w:val="en-US"/>
        </w:rPr>
      </w:pPr>
      <w:r w:rsidRPr="00846EC7">
        <w:rPr>
          <w:rFonts w:cstheme="minorHAnsi"/>
          <w:b/>
          <w:sz w:val="24"/>
          <w:szCs w:val="24"/>
          <w:u w:val="single"/>
          <w:lang w:val="en-US"/>
        </w:rPr>
        <w:t>p16 immunohistochemistry</w:t>
      </w:r>
      <w:r>
        <w:rPr>
          <w:rFonts w:cstheme="minorHAnsi"/>
          <w:sz w:val="24"/>
          <w:szCs w:val="24"/>
          <w:lang w:val="en-US"/>
        </w:rPr>
        <w:t>:</w:t>
      </w:r>
    </w:p>
    <w:p w:rsidR="005250AC" w:rsidRPr="00846EC7" w:rsidRDefault="005250AC" w:rsidP="005250AC">
      <w:pPr>
        <w:jc w:val="both"/>
        <w:rPr>
          <w:rFonts w:cstheme="minorHAnsi"/>
          <w:sz w:val="24"/>
          <w:szCs w:val="24"/>
          <w:lang w:val="en-US"/>
        </w:rPr>
      </w:pPr>
      <w:r>
        <w:rPr>
          <w:rFonts w:cstheme="minorHAnsi"/>
          <w:sz w:val="24"/>
          <w:szCs w:val="24"/>
          <w:lang w:val="en-US"/>
        </w:rPr>
        <w:t>T</w:t>
      </w:r>
      <w:r w:rsidRPr="00846EC7">
        <w:rPr>
          <w:rFonts w:cstheme="minorHAnsi"/>
          <w:sz w:val="24"/>
          <w:szCs w:val="24"/>
          <w:lang w:val="en-US"/>
        </w:rPr>
        <w:t xml:space="preserve">umor content was estimated from </w:t>
      </w:r>
      <w:proofErr w:type="spellStart"/>
      <w:r w:rsidRPr="00846EC7">
        <w:rPr>
          <w:rFonts w:cstheme="minorHAnsi"/>
          <w:sz w:val="24"/>
          <w:szCs w:val="24"/>
          <w:lang w:val="en-US"/>
        </w:rPr>
        <w:t>Haematoxylin</w:t>
      </w:r>
      <w:proofErr w:type="spellEnd"/>
      <w:r w:rsidRPr="00846EC7">
        <w:rPr>
          <w:rFonts w:cstheme="minorHAnsi"/>
          <w:sz w:val="24"/>
          <w:szCs w:val="24"/>
          <w:lang w:val="en-US"/>
        </w:rPr>
        <w:t xml:space="preserve"> and eosin stained tissue sections, and samples with &lt;10% tumor content were excluded from analysis. For all samples, staining was regarded as positive if strong and diffuse (nuclear and cytoplasmic staining in &gt;70% of tumoral cells). Focal or absent staining was regarded as negative</w:t>
      </w:r>
      <w:r>
        <w:rPr>
          <w:rFonts w:cstheme="minorHAnsi"/>
          <w:sz w:val="24"/>
          <w:szCs w:val="24"/>
          <w:lang w:val="en-US"/>
        </w:rPr>
        <w:fldChar w:fldCharType="begin" w:fldLock="1"/>
      </w:r>
      <w:r>
        <w:rPr>
          <w:rFonts w:cstheme="minorHAnsi"/>
          <w:sz w:val="24"/>
          <w:szCs w:val="24"/>
          <w:lang w:val="en-US"/>
        </w:rPr>
        <w:instrText>ADDIN CSL_CITATION {"citationItems":[{"id":"ITEM-1","itemData":{"DOI":"10.1016/j.radonc.2014.11.011","ISSN":"01678140","author":[{"dropping-particle":"","family":"Lohaus","given":"Fabian","non-dropping-particle":"","parse-names":false,"suffix":""},{"dropping-particle":"","family":"Linge","given":"Annett","non-dropping-particle":"","parse-names":false,"suffix":""},{"dropping-particle":"","family":"Tinhofer","given":"Inge","non-dropping-particle":"","parse-names":false,"suffix":""},{"dropping-particle":"","family":"Budach","given":"Volker","non-dropping-particle":"","parse-names":false,"suffix":""},{"dropping-particle":"","family":"Gkika","given":"Eleni","non-dropping-particle":"","parse-names":false,"suffix":""},{"dropping-particle":"","family":"Stuschke","given":"Martin","non-dropping-particle":"","parse-names":false,"suffix":""},{"dropping-particle":"","family":"Balermpas","given":"Panagiotis","non-dropping-particle":"","parse-names":false,"suffix":""},{"dropping-particle":"","family":"Rödel","given":"Claus","non-dropping-particle":"","parse-names":false,"suffix":""},{"dropping-particle":"","family":"Avlar","given":"Melanie","non-dropping-particle":"","parse-names":false,"suffix":""},{"dropping-particle":"","family":"Grosu","given":"Anca-Ligia","non-dropping-particle":"","parse-names":false,"suffix":""},{"dropping-particle":"","family":"Abdollahi","given":"Amir","non-dropping-particle":"","parse-names":false,"suffix":""},{"dropping-particle":"","family":"Debus","given":"Jürgen","non-dropping-particle":"","parse-names":false,"suffix":""},{"dropping-particle":"","family":"Bayer","given":"Christine","non-dropping-particle":"","parse-names":false,"suffix":""},{"dropping-particle":"","family":"Belka","given":"Claus","non-dropping-particle":"","parse-names":false,"suffix":""},{"dropping-particle":"","family":"Pigorsch","given":"Steffi","non-dropping-particle":"","parse-names":false,"suffix":""},{"dropping-particle":"","family":"Combs","given":"Stephanie E.","non-dropping-particle":"","parse-names":false,"suffix":""},{"dropping-particle":"","family":"Mönnich","given":"David","non-dropping-particle":"","parse-names":false,"suffix":""},{"dropping-particle":"","family":"Zips","given":"Daniel","non-dropping-particle":"","parse-names":false,"suffix":""},{"dropping-particle":"","family":"Neubeck","given":"Cläre","non-dropping-particle":"von","parse-names":false,"suffix":""},{"dropping-particle":"","family":"Baretton","given":"Gustavo B.","non-dropping-particle":"","parse-names":false,"suffix":""},{"dropping-particle":"","family":"Löck","given":"Steffen","non-dropping-particle":"","parse-names":false,"suffix":""},{"dropping-particle":"","family":"Thames","given":"Howard D.","non-dropping-particle":"","parse-names":false,"suffix":""},{"dropping-particle":"","family":"Krause","given":"Mechthild","non-dropping-particle":"","parse-names":false,"suffix":""},{"dropping-particle":"","family":"Baumann","given":"Michael","non-dropping-particle":"","parse-names":false,"suffix":""}],"container-title":"Radiotherapy and Oncology","id":"ITEM-1","issue":"3","issued":{"date-parts":[["2014","12"]]},"page":"317-323","title":"HPV16 DNA status is a strong prognosticator of loco-regional control after postoperative radiochemotherapy of locally advanced oropharyngeal carcinoma: Results from a multicentre explorative study of the German Cancer Consortium Radiation Oncology Group (DKTK-ROG)","type":"article-journal","volume":"113"},"uris":["http://www.mendeley.com/documents/?uuid=d23bef84-808d-384e-9d12-33e96cd35ceb"]},{"id":"ITEM-2","itemData":{"DOI":"10.1016/j.radonc.2016.11.008","ISSN":"01678140","PMID":"27913065","abstract":"OBJECTIVE To investigate the impact of the tumour volume, HPV status, cancer stem cell (CSC) marker expression and hypoxia gene signatures, as potential markers of radiobiological mechanisms of radioresistance, in a contemporary cohort of patients with locally advanced head and neck squamous cell carcinoma (HNSCC), who received primary radiochemotherapy (RCTx). MATERIALS AND METHODS For 158 patients with locally advanced HNSCC of the oral cavity, oropharynx or hypopharynx who were treated at six DKTK partner sites, the impact of tumour volume, HPV DNA, p16 overexpression, p53 expression, CSC marker expression and hypoxia-associated gene signatures on outcome of primary RCTx was retrospectively analyzed. The primary endpoint of this study was loco-regional control (LRC). RESULTS Univariate Cox regression revealed a significant impact of tumour volume, p16 overexpression, and SLC3A2 and CD44 protein expression on LRC. The tumour hypoxia classification showed a significant impact only for small tumours. In multivariate analyses an independent correlation of tumour volume, SLC3A2 expression, and the 15-gene hypoxia signature with LRC was identified (CD44 protein n/a because of no event in the CD44-negative group). Logistic modelling showed that inclusion of CD44 protein expression and p16 overexpression significantly improved the performance to predict LRC at 2years compared to the model with tumour volume alone. CONCLUSIONS Tumour volume, HPV status, CSC marker expression and hypoxia gene signatures are potential prognostic biomarkers for patients with locally advanced HNSCC, who were treated by primary RCTx. The study also supports that the individual tumour volumes should generally be included in biomarker studies and that panels of biomarkers are superior to individual parameters.","author":[{"dropping-particle":"","family":"Linge","given":"Annett","non-dropping-particle":"","parse-names":false,"suffix":""},{"dropping-particle":"","family":"Lohaus","given":"Fabian","non-dropping-particle":"","parse-names":false,"suffix":""},{"dropping-particle":"","family":"Löck","given":"Steffen","non-dropping-particle":"","parse-names":false,"suffix":""},{"dropping-particle":"","family":"Nowak","given":"Alexander","non-dropping-particle":"","parse-names":false,"suffix":""},{"dropping-particle":"","family":"Gudziol","given":"Volker","non-dropping-particle":"","parse-names":false,"suffix":""},{"dropping-particle":"","family":"Valentini","given":"Chiara","non-dropping-particle":"","parse-names":false,"suffix":""},{"dropping-particle":"","family":"Neubeck","given":"Cläre","non-dropping-particle":"von","parse-names":false,"suffix":""},{"dropping-particle":"","family":"Jütz","given":"Martin","non-dropping-particle":"","parse-names":false,"suffix":""},{"dropping-particle":"","family":"Tinhofer","given":"Inge","non-dropping-particle":"","parse-names":false,"suffix":""},{"dropping-particle":"","family":"Budach","given":"Volker","non-dropping-particle":"","parse-names":false,"suffix":""},{"dropping-particle":"","family":"Sak","given":"Ali","non-dropping-particle":"","parse-names":false,"suffix":""},{"dropping-particle":"","family":"Stuschke","given":"Martin","non-dropping-particle":"","parse-names":false,"suffix":""},{"dropping-particle":"","family":"Balermpas","given":"Panagiotis","non-dropping-particle":"","parse-names":false,"suffix":""},{"dropping-particle":"","family":"Rödel","given":"Claus","non-dropping-particle":"","parse-names":false,"suffix":""},{"dropping-particle":"","family":"Grosu","given":"Anca-Ligia","non-dropping-particle":"","parse-names":false,"suffix":""},{"dropping-particle":"","family":"Abdollahi","given":"Amir","non-dropping-particle":"","parse-names":false,"suffix":""},{"dropping-particle":"","family":"Debus","given":"Jürgen","non-dropping-particle":"","parse-names":false,"suffix":""},{"dropping-particle":"","family":"Ganswindt","given":"Ute","non-dropping-particle":"","parse-names":false,"suffix":""},{"dropping-particle":"","family":"Belka","given":"Claus","non-dropping-particle":"","parse-names":false,"suffix":""},{"dropping-particle":"","family":"Pigorsch","given":"Steffi","non-dropping-particle":"","parse-names":false,"suffix":""},{"dropping-particle":"","family":"Combs","given":"Stephanie E.","non-dropping-particle":"","parse-names":false,"suffix":""},{"dropping-particle":"","family":"Mönnich","given":"David","non-dropping-particle":"","parse-names":false,"suffix":""},{"dropping-particle":"","family":"Zips","given":"Daniel","non-dropping-particle":"","parse-names":false,"suffix":""},{"dropping-particle":"","family":"Buchholz","given":"Frank","non-dropping-particle":"","parse-names":false,"suffix":""},{"dropping-particle":"","family":"Aust","given":"Daniela E.","non-dropping-particle":"","parse-names":false,"suffix":""},{"dropping-particle":"","family":"Baretton","given":"Gustavo B.","non-dropping-particle":"","parse-names":false,"suffix":""},{"dropping-particle":"","family":"Thames","given":"Howard D.","non-dropping-particle":"","parse-names":false,"suffix":""},{"dropping-particle":"","family":"Dubrovska","given":"Anna","non-dropping-particle":"","parse-names":false,"suffix":""},{"dropping-particle":"","family":"Alsner","given":"Jan","non-dropping-particle":"","parse-names":false,"suffix":""},{"dropping-particle":"","family":"Overgaard","given":"Jens","non-dropping-particle":"","parse-names":false,"suffix":""},{"dropping-particle":"","family":"Krause","given":"Mechthild","non-dropping-particle":"","parse-names":false,"suffix":""},{"dropping-particle":"","family":"Baumann","given":"Michael","non-dropping-particle":"","parse-names":false,"suffix":""},{"dropping-particle":"","family":"DKTK-ROG","given":"","non-dropping-particle":"","parse-names":false,"suffix":""}],"container-title":"Radiotherapy and Oncology","id":"ITEM-2","issue":"3","issued":{"date-parts":[["2016","12"]]},"page":"364-373","title":"HPV status, cancer stem cell marker expression, hypoxia gene signatures and tumour volume identify good prognosis subgroups in patients with HNSCC after primary radiochemotherapy: A multicentre retrospective study of the German Cancer Consortium Radiation Oncology Group (DKTK-ROG)","type":"article-journal","volume":"121"},"uris":["http://www.mendeley.com/documents/?uuid=a8bc6b8e-57bd-3dc8-bdd9-ed7049e76347"]}],"mendeley":{"formattedCitation":"[1,2]","plainTextFormattedCitation":"[1,2]","previouslyFormattedCitation":"[1,2]"},"properties":{"noteIndex":0},"schema":"https://github.com/citation-style-language/schema/raw/master/csl-citation.json"}</w:instrText>
      </w:r>
      <w:r>
        <w:rPr>
          <w:rFonts w:cstheme="minorHAnsi"/>
          <w:sz w:val="24"/>
          <w:szCs w:val="24"/>
          <w:lang w:val="en-US"/>
        </w:rPr>
        <w:fldChar w:fldCharType="separate"/>
      </w:r>
      <w:r w:rsidRPr="00F8165A">
        <w:rPr>
          <w:rFonts w:cstheme="minorHAnsi"/>
          <w:noProof/>
          <w:sz w:val="24"/>
          <w:szCs w:val="24"/>
          <w:lang w:val="en-US"/>
        </w:rPr>
        <w:t>[1,2]</w:t>
      </w:r>
      <w:r>
        <w:rPr>
          <w:rFonts w:cstheme="minorHAnsi"/>
          <w:sz w:val="24"/>
          <w:szCs w:val="24"/>
          <w:lang w:val="en-US"/>
        </w:rPr>
        <w:fldChar w:fldCharType="end"/>
      </w:r>
      <w:r>
        <w:rPr>
          <w:rFonts w:cstheme="minorHAnsi"/>
          <w:sz w:val="24"/>
          <w:szCs w:val="24"/>
          <w:lang w:val="en-US"/>
        </w:rPr>
        <w:t>,</w:t>
      </w:r>
      <w:r w:rsidRPr="00846EC7">
        <w:rPr>
          <w:rFonts w:cstheme="minorHAnsi"/>
          <w:sz w:val="24"/>
          <w:szCs w:val="24"/>
          <w:lang w:val="en-US"/>
        </w:rPr>
        <w:t>.</w:t>
      </w:r>
    </w:p>
    <w:p w:rsidR="005250AC" w:rsidRPr="00846EC7" w:rsidRDefault="005250AC" w:rsidP="005250AC">
      <w:pPr>
        <w:pStyle w:val="ListParagraph"/>
        <w:numPr>
          <w:ilvl w:val="0"/>
          <w:numId w:val="1"/>
        </w:numPr>
        <w:jc w:val="both"/>
        <w:rPr>
          <w:rFonts w:cs="Times New Roman"/>
          <w:b/>
          <w:sz w:val="24"/>
          <w:szCs w:val="24"/>
          <w:u w:val="single"/>
          <w:lang w:val="en-US"/>
        </w:rPr>
      </w:pPr>
      <w:r w:rsidRPr="00846EC7">
        <w:rPr>
          <w:rFonts w:cs="Times New Roman"/>
          <w:b/>
          <w:sz w:val="24"/>
          <w:szCs w:val="24"/>
          <w:u w:val="single"/>
          <w:lang w:val="en-US"/>
        </w:rPr>
        <w:t>HPV DNA PCR status determination:</w:t>
      </w:r>
    </w:p>
    <w:p w:rsidR="005250AC" w:rsidRDefault="005250AC" w:rsidP="005250AC">
      <w:pPr>
        <w:jc w:val="both"/>
        <w:rPr>
          <w:rFonts w:cs="Times New Roman"/>
          <w:sz w:val="24"/>
          <w:szCs w:val="24"/>
          <w:lang w:val="en-US"/>
        </w:rPr>
      </w:pPr>
      <w:r>
        <w:rPr>
          <w:rFonts w:cs="Times New Roman"/>
          <w:sz w:val="24"/>
          <w:szCs w:val="24"/>
          <w:lang w:val="en-US"/>
        </w:rPr>
        <w:t xml:space="preserve">Genomic DNA extraction </w:t>
      </w:r>
      <w:proofErr w:type="gramStart"/>
      <w:r>
        <w:rPr>
          <w:rFonts w:cs="Times New Roman"/>
          <w:sz w:val="24"/>
          <w:szCs w:val="24"/>
          <w:lang w:val="en-US"/>
        </w:rPr>
        <w:t>was performed</w:t>
      </w:r>
      <w:proofErr w:type="gramEnd"/>
      <w:r>
        <w:rPr>
          <w:rFonts w:cs="Times New Roman"/>
          <w:sz w:val="24"/>
          <w:szCs w:val="24"/>
          <w:lang w:val="en-US"/>
        </w:rPr>
        <w:t xml:space="preserve"> using </w:t>
      </w:r>
      <w:proofErr w:type="spellStart"/>
      <w:r>
        <w:rPr>
          <w:rFonts w:cs="Times New Roman"/>
          <w:sz w:val="24"/>
          <w:szCs w:val="24"/>
          <w:lang w:val="en-US"/>
        </w:rPr>
        <w:t>QIAamp</w:t>
      </w:r>
      <w:proofErr w:type="spellEnd"/>
      <w:r>
        <w:rPr>
          <w:rFonts w:cs="Times New Roman"/>
          <w:sz w:val="24"/>
          <w:szCs w:val="24"/>
          <w:lang w:val="en-US"/>
        </w:rPr>
        <w:t xml:space="preserve"> DNA FFPE kit (</w:t>
      </w:r>
      <w:proofErr w:type="spellStart"/>
      <w:r>
        <w:rPr>
          <w:rFonts w:cs="Times New Roman"/>
          <w:sz w:val="24"/>
          <w:szCs w:val="24"/>
          <w:lang w:val="en-US"/>
        </w:rPr>
        <w:t>Qiagen</w:t>
      </w:r>
      <w:proofErr w:type="spellEnd"/>
      <w:r>
        <w:rPr>
          <w:rFonts w:cs="Times New Roman"/>
          <w:sz w:val="24"/>
          <w:szCs w:val="24"/>
          <w:lang w:val="en-US"/>
        </w:rPr>
        <w:t xml:space="preserve"> </w:t>
      </w:r>
      <w:proofErr w:type="spellStart"/>
      <w:r>
        <w:rPr>
          <w:rFonts w:cs="Times New Roman"/>
          <w:sz w:val="24"/>
          <w:szCs w:val="24"/>
          <w:lang w:val="en-US"/>
        </w:rPr>
        <w:t>Gmbh</w:t>
      </w:r>
      <w:proofErr w:type="spellEnd"/>
      <w:r>
        <w:rPr>
          <w:rFonts w:cs="Times New Roman"/>
          <w:sz w:val="24"/>
          <w:szCs w:val="24"/>
          <w:lang w:val="en-US"/>
        </w:rPr>
        <w:t>, Hilden, Germany).</w:t>
      </w:r>
      <w:r w:rsidRPr="003204B3">
        <w:rPr>
          <w:rFonts w:cs="Times New Roman"/>
          <w:sz w:val="24"/>
          <w:szCs w:val="24"/>
          <w:lang w:val="en-US"/>
        </w:rPr>
        <w:t xml:space="preserve"> HPVDNA analysis and genotypi</w:t>
      </w:r>
      <w:r>
        <w:rPr>
          <w:rFonts w:cs="Times New Roman"/>
          <w:sz w:val="24"/>
          <w:szCs w:val="24"/>
          <w:lang w:val="en-US"/>
        </w:rPr>
        <w:t xml:space="preserve">ng </w:t>
      </w:r>
      <w:proofErr w:type="gramStart"/>
      <w:r>
        <w:rPr>
          <w:rFonts w:cs="Times New Roman"/>
          <w:sz w:val="24"/>
          <w:szCs w:val="24"/>
          <w:lang w:val="en-US"/>
        </w:rPr>
        <w:t>was performed</w:t>
      </w:r>
      <w:proofErr w:type="gramEnd"/>
      <w:r>
        <w:rPr>
          <w:rFonts w:cs="Times New Roman"/>
          <w:sz w:val="24"/>
          <w:szCs w:val="24"/>
          <w:lang w:val="en-US"/>
        </w:rPr>
        <w:t xml:space="preserve"> using the LCD-</w:t>
      </w:r>
      <w:r w:rsidRPr="003204B3">
        <w:rPr>
          <w:rFonts w:cs="Times New Roman"/>
          <w:sz w:val="24"/>
          <w:szCs w:val="24"/>
          <w:lang w:val="en-US"/>
        </w:rPr>
        <w:t xml:space="preserve">Array HPV 3.5 Kit (CHIPRON, GmbH, Berlin, Germany), </w:t>
      </w:r>
      <w:r>
        <w:rPr>
          <w:rFonts w:cs="Times New Roman"/>
          <w:sz w:val="24"/>
          <w:szCs w:val="24"/>
          <w:lang w:val="en-US"/>
        </w:rPr>
        <w:t xml:space="preserve">according to the </w:t>
      </w:r>
      <w:proofErr w:type="spellStart"/>
      <w:r>
        <w:rPr>
          <w:rFonts w:cs="Times New Roman"/>
          <w:sz w:val="24"/>
          <w:szCs w:val="24"/>
          <w:lang w:val="en-US"/>
        </w:rPr>
        <w:t>manufacturer’s</w:t>
      </w:r>
      <w:r w:rsidRPr="003204B3">
        <w:rPr>
          <w:rFonts w:cs="Times New Roman"/>
          <w:sz w:val="24"/>
          <w:szCs w:val="24"/>
          <w:lang w:val="en-US"/>
        </w:rPr>
        <w:t>instruction</w:t>
      </w:r>
      <w:proofErr w:type="spellEnd"/>
      <w:r w:rsidRPr="003204B3">
        <w:rPr>
          <w:rFonts w:cs="Times New Roman"/>
          <w:sz w:val="24"/>
          <w:szCs w:val="24"/>
          <w:lang w:val="en-US"/>
        </w:rPr>
        <w:t>. In brief, the LCD-Array Kit enables the parallel d</w:t>
      </w:r>
      <w:r>
        <w:rPr>
          <w:rFonts w:cs="Times New Roman"/>
          <w:sz w:val="24"/>
          <w:szCs w:val="24"/>
          <w:lang w:val="en-US"/>
        </w:rPr>
        <w:t xml:space="preserve">etection of 32 HPV types. Every </w:t>
      </w:r>
      <w:r w:rsidRPr="003204B3">
        <w:rPr>
          <w:rFonts w:cs="Times New Roman"/>
          <w:sz w:val="24"/>
          <w:szCs w:val="24"/>
          <w:lang w:val="en-US"/>
        </w:rPr>
        <w:t>array contains 64 HPV subtype specific capture probes, inclu</w:t>
      </w:r>
      <w:r>
        <w:rPr>
          <w:rFonts w:cs="Times New Roman"/>
          <w:sz w:val="24"/>
          <w:szCs w:val="24"/>
          <w:lang w:val="en-US"/>
        </w:rPr>
        <w:t xml:space="preserve">ding 13 High Risk type specific </w:t>
      </w:r>
      <w:r w:rsidRPr="003204B3">
        <w:rPr>
          <w:rFonts w:cs="Times New Roman"/>
          <w:sz w:val="24"/>
          <w:szCs w:val="24"/>
          <w:lang w:val="en-US"/>
        </w:rPr>
        <w:t>probes (types 16,18,31,33,35,39,45,51,52,56,58,59,68), 6 interme</w:t>
      </w:r>
      <w:r>
        <w:rPr>
          <w:rFonts w:cs="Times New Roman"/>
          <w:sz w:val="24"/>
          <w:szCs w:val="24"/>
          <w:lang w:val="en-US"/>
        </w:rPr>
        <w:t xml:space="preserve">diate risk type specific probes </w:t>
      </w:r>
      <w:r w:rsidRPr="003204B3">
        <w:rPr>
          <w:rFonts w:cs="Times New Roman"/>
          <w:sz w:val="24"/>
          <w:szCs w:val="24"/>
          <w:lang w:val="en-US"/>
        </w:rPr>
        <w:t>(53,66,67,70,73,82) and 1</w:t>
      </w:r>
      <w:r>
        <w:rPr>
          <w:rFonts w:cs="Times New Roman"/>
          <w:sz w:val="24"/>
          <w:szCs w:val="24"/>
          <w:lang w:val="en-US"/>
        </w:rPr>
        <w:t xml:space="preserve">3 low risk type specific probes </w:t>
      </w:r>
      <w:r w:rsidRPr="003204B3">
        <w:rPr>
          <w:rFonts w:cs="Times New Roman"/>
          <w:sz w:val="24"/>
          <w:szCs w:val="24"/>
          <w:lang w:val="en-US"/>
        </w:rPr>
        <w:t>(6,11,42,44,54,61,62,72,81,83,84,90,91) and 3 hybridization c</w:t>
      </w:r>
      <w:r>
        <w:rPr>
          <w:rFonts w:cs="Times New Roman"/>
          <w:sz w:val="24"/>
          <w:szCs w:val="24"/>
          <w:lang w:val="en-US"/>
        </w:rPr>
        <w:t xml:space="preserve">ontrol probes. Primer sets used </w:t>
      </w:r>
      <w:r w:rsidRPr="003204B3">
        <w:rPr>
          <w:rFonts w:cs="Times New Roman"/>
          <w:sz w:val="24"/>
          <w:szCs w:val="24"/>
          <w:lang w:val="en-US"/>
        </w:rPr>
        <w:t>for PCR amplification target the L1 gene of HPV types</w:t>
      </w:r>
      <w:r>
        <w:rPr>
          <w:rFonts w:cstheme="minorHAnsi"/>
          <w:sz w:val="24"/>
          <w:szCs w:val="24"/>
          <w:lang w:val="en-US"/>
        </w:rPr>
        <w:fldChar w:fldCharType="begin" w:fldLock="1"/>
      </w:r>
      <w:r>
        <w:rPr>
          <w:rFonts w:cstheme="minorHAnsi"/>
          <w:sz w:val="24"/>
          <w:szCs w:val="24"/>
          <w:lang w:val="en-US"/>
        </w:rPr>
        <w:instrText>ADDIN CSL_CITATION {"citationItems":[{"id":"ITEM-1","itemData":{"DOI":"10.1016/j.radonc.2014.11.011","ISSN":"01678140","author":[{"dropping-particle":"","family":"Lohaus","given":"Fabian","non-dropping-particle":"","parse-names":false,"suffix":""},{"dropping-particle":"","family":"Linge","given":"Annett","non-dropping-particle":"","parse-names":false,"suffix":""},{"dropping-particle":"","family":"Tinhofer","given":"Inge","non-dropping-particle":"","parse-names":false,"suffix":""},{"dropping-particle":"","family":"Budach","given":"Volker","non-dropping-particle":"","parse-names":false,"suffix":""},{"dropping-particle":"","family":"Gkika","given":"Eleni","non-dropping-particle":"","parse-names":false,"suffix":""},{"dropping-particle":"","family":"Stuschke","given":"Martin","non-dropping-particle":"","parse-names":false,"suffix":""},{"dropping-particle":"","family":"Balermpas","given":"Panagiotis","non-dropping-particle":"","parse-names":false,"suffix":""},{"dropping-particle":"","family":"Rödel","given":"Claus","non-dropping-particle":"","parse-names":false,"suffix":""},{"dropping-particle":"","family":"Avlar","given":"Melanie","non-dropping-particle":"","parse-names":false,"suffix":""},{"dropping-particle":"","family":"Grosu","given":"Anca-Ligia","non-dropping-particle":"","parse-names":false,"suffix":""},{"dropping-particle":"","family":"Abdollahi","given":"Amir","non-dropping-particle":"","parse-names":false,"suffix":""},{"dropping-particle":"","family":"Debus","given":"Jürgen","non-dropping-particle":"","parse-names":false,"suffix":""},{"dropping-particle":"","family":"Bayer","given":"Christine","non-dropping-particle":"","parse-names":false,"suffix":""},{"dropping-particle":"","family":"Belka","given":"Claus","non-dropping-particle":"","parse-names":false,"suffix":""},{"dropping-particle":"","family":"Pigorsch","given":"Steffi","non-dropping-particle":"","parse-names":false,"suffix":""},{"dropping-particle":"","family":"Combs","given":"Stephanie E.","non-dropping-particle":"","parse-names":false,"suffix":""},{"dropping-particle":"","family":"Mönnich","given":"David","non-dropping-particle":"","parse-names":false,"suffix":""},{"dropping-particle":"","family":"Zips","given":"Daniel","non-dropping-particle":"","parse-names":false,"suffix":""},{"dropping-particle":"","family":"Neubeck","given":"Cläre","non-dropping-particle":"von","parse-names":false,"suffix":""},{"dropping-particle":"","family":"Baretton","given":"Gustavo B.","non-dropping-particle":"","parse-names":false,"suffix":""},{"dropping-particle":"","family":"Löck","given":"Steffen","non-dropping-particle":"","parse-names":false,"suffix":""},{"dropping-particle":"","family":"Thames","given":"Howard D.","non-dropping-particle":"","parse-names":false,"suffix":""},{"dropping-particle":"","family":"Krause","given":"Mechthild","non-dropping-particle":"","parse-names":false,"suffix":""},{"dropping-particle":"","family":"Baumann","given":"Michael","non-dropping-particle":"","parse-names":false,"suffix":""}],"container-title":"Radiotherapy and Oncology","id":"ITEM-1","issue":"3","issued":{"date-parts":[["2014","12"]]},"page":"317-323","title":"HPV16 DNA status is a strong prognosticator of loco-regional control after postoperative radiochemotherapy of locally advanced oropharyngeal carcinoma: Results from a multicentre explorative study of the German Cancer Consortium Radiation Oncology Group (DKTK-ROG)","type":"article-journal","volume":"113"},"uris":["http://www.mendeley.com/documents/?uuid=d23bef84-808d-384e-9d12-33e96cd35ceb"]},{"id":"ITEM-2","itemData":{"DOI":"10.1016/j.radonc.2016.11.008","ISSN":"01678140","PMID":"27913065","abstract":"OBJECTIVE To investigate the impact of the tumour volume, HPV status, cancer stem cell (CSC) marker expression and hypoxia gene signatures, as potential markers of radiobiological mechanisms of radioresistance, in a contemporary cohort of patients with locally advanced head and neck squamous cell carcinoma (HNSCC), who received primary radiochemotherapy (RCTx). MATERIALS AND METHODS For 158 patients with locally advanced HNSCC of the oral cavity, oropharynx or hypopharynx who were treated at six DKTK partner sites, the impact of tumour volume, HPV DNA, p16 overexpression, p53 expression, CSC marker expression and hypoxia-associated gene signatures on outcome of primary RCTx was retrospectively analyzed. The primary endpoint of this study was loco-regional control (LRC). RESULTS Univariate Cox regression revealed a significant impact of tumour volume, p16 overexpression, and SLC3A2 and CD44 protein expression on LRC. The tumour hypoxia classification showed a significant impact only for small tumours. In multivariate analyses an independent correlation of tumour volume, SLC3A2 expression, and the 15-gene hypoxia signature with LRC was identified (CD44 protein n/a because of no event in the CD44-negative group). Logistic modelling showed that inclusion of CD44 protein expression and p16 overexpression significantly improved the performance to predict LRC at 2years compared to the model with tumour volume alone. CONCLUSIONS Tumour volume, HPV status, CSC marker expression and hypoxia gene signatures are potential prognostic biomarkers for patients with locally advanced HNSCC, who were treated by primary RCTx. The study also supports that the individual tumour volumes should generally be included in biomarker studies and that panels of biomarkers are superior to individual parameters.","author":[{"dropping-particle":"","family":"Linge","given":"Annett","non-dropping-particle":"","parse-names":false,"suffix":""},{"dropping-particle":"","family":"Lohaus","given":"Fabian","non-dropping-particle":"","parse-names":false,"suffix":""},{"dropping-particle":"","family":"Löck","given":"Steffen","non-dropping-particle":"","parse-names":false,"suffix":""},{"dropping-particle":"","family":"Nowak","given":"Alexander","non-dropping-particle":"","parse-names":false,"suffix":""},{"dropping-particle":"","family":"Gudziol","given":"Volker","non-dropping-particle":"","parse-names":false,"suffix":""},{"dropping-particle":"","family":"Valentini","given":"Chiara","non-dropping-particle":"","parse-names":false,"suffix":""},{"dropping-particle":"","family":"Neubeck","given":"Cläre","non-dropping-particle":"von","parse-names":false,"suffix":""},{"dropping-particle":"","family":"Jütz","given":"Martin","non-dropping-particle":"","parse-names":false,"suffix":""},{"dropping-particle":"","family":"Tinhofer","given":"Inge","non-dropping-particle":"","parse-names":false,"suffix":""},{"dropping-particle":"","family":"Budach","given":"Volker","non-dropping-particle":"","parse-names":false,"suffix":""},{"dropping-particle":"","family":"Sak","given":"Ali","non-dropping-particle":"","parse-names":false,"suffix":""},{"dropping-particle":"","family":"Stuschke","given":"Martin","non-dropping-particle":"","parse-names":false,"suffix":""},{"dropping-particle":"","family":"Balermpas","given":"Panagiotis","non-dropping-particle":"","parse-names":false,"suffix":""},{"dropping-particle":"","family":"Rödel","given":"Claus","non-dropping-particle":"","parse-names":false,"suffix":""},{"dropping-particle":"","family":"Grosu","given":"Anca-Ligia","non-dropping-particle":"","parse-names":false,"suffix":""},{"dropping-particle":"","family":"Abdollahi","given":"Amir","non-dropping-particle":"","parse-names":false,"suffix":""},{"dropping-particle":"","family":"Debus","given":"Jürgen","non-dropping-particle":"","parse-names":false,"suffix":""},{"dropping-particle":"","family":"Ganswindt","given":"Ute","non-dropping-particle":"","parse-names":false,"suffix":""},{"dropping-particle":"","family":"Belka","given":"Claus","non-dropping-particle":"","parse-names":false,"suffix":""},{"dropping-particle":"","family":"Pigorsch","given":"Steffi","non-dropping-particle":"","parse-names":false,"suffix":""},{"dropping-particle":"","family":"Combs","given":"Stephanie E.","non-dropping-particle":"","parse-names":false,"suffix":""},{"dropping-particle":"","family":"Mönnich","given":"David","non-dropping-particle":"","parse-names":false,"suffix":""},{"dropping-particle":"","family":"Zips","given":"Daniel","non-dropping-particle":"","parse-names":false,"suffix":""},{"dropping-particle":"","family":"Buchholz","given":"Frank","non-dropping-particle":"","parse-names":false,"suffix":""},{"dropping-particle":"","family":"Aust","given":"Daniela E.","non-dropping-particle":"","parse-names":false,"suffix":""},{"dropping-particle":"","family":"Baretton","given":"Gustavo B.","non-dropping-particle":"","parse-names":false,"suffix":""},{"dropping-particle":"","family":"Thames","given":"Howard D.","non-dropping-particle":"","parse-names":false,"suffix":""},{"dropping-particle":"","family":"Dubrovska","given":"Anna","non-dropping-particle":"","parse-names":false,"suffix":""},{"dropping-particle":"","family":"Alsner","given":"Jan","non-dropping-particle":"","parse-names":false,"suffix":""},{"dropping-particle":"","family":"Overgaard","given":"Jens","non-dropping-particle":"","parse-names":false,"suffix":""},{"dropping-particle":"","family":"Krause","given":"Mechthild","non-dropping-particle":"","parse-names":false,"suffix":""},{"dropping-particle":"","family":"Baumann","given":"Michael","non-dropping-particle":"","parse-names":false,"suffix":""},{"dropping-particle":"","family":"DKTK-ROG","given":"","non-dropping-particle":"","parse-names":false,"suffix":""}],"container-title":"Radiotherapy and Oncology","id":"ITEM-2","issue":"3","issued":{"date-parts":[["2016","12"]]},"page":"364-373","title":"HPV status, cancer stem cell marker expression, hypoxia gene signatures and tumour volume identify good prognosis subgroups in patients with HNSCC after primary radiochemotherapy: A multicentre retrospective study of the German Cancer Consortium Radiation Oncology Group (DKTK-ROG)","type":"article-journal","volume":"121"},"uris":["http://www.mendeley.com/documents/?uuid=a8bc6b8e-57bd-3dc8-bdd9-ed7049e76347"]}],"mendeley":{"formattedCitation":"[1,2]","plainTextFormattedCitation":"[1,2]","previouslyFormattedCitation":"[1,2]"},"properties":{"noteIndex":0},"schema":"https://github.com/citation-style-language/schema/raw/master/csl-citation.json"}</w:instrText>
      </w:r>
      <w:r>
        <w:rPr>
          <w:rFonts w:cstheme="minorHAnsi"/>
          <w:sz w:val="24"/>
          <w:szCs w:val="24"/>
          <w:lang w:val="en-US"/>
        </w:rPr>
        <w:fldChar w:fldCharType="separate"/>
      </w:r>
      <w:r w:rsidRPr="00F8165A">
        <w:rPr>
          <w:rFonts w:cstheme="minorHAnsi"/>
          <w:noProof/>
          <w:sz w:val="24"/>
          <w:szCs w:val="24"/>
          <w:lang w:val="en-US"/>
        </w:rPr>
        <w:t>[1,2]</w:t>
      </w:r>
      <w:r>
        <w:rPr>
          <w:rFonts w:cstheme="minorHAnsi"/>
          <w:sz w:val="24"/>
          <w:szCs w:val="24"/>
          <w:lang w:val="en-US"/>
        </w:rPr>
        <w:fldChar w:fldCharType="end"/>
      </w:r>
      <w:r>
        <w:rPr>
          <w:rFonts w:cs="Times New Roman"/>
          <w:sz w:val="24"/>
          <w:szCs w:val="24"/>
          <w:lang w:val="en-US"/>
        </w:rPr>
        <w:t xml:space="preserve">. </w:t>
      </w:r>
    </w:p>
    <w:p w:rsidR="005250AC" w:rsidRDefault="005250AC" w:rsidP="005250AC">
      <w:pPr>
        <w:pStyle w:val="ListParagraph"/>
        <w:numPr>
          <w:ilvl w:val="0"/>
          <w:numId w:val="1"/>
        </w:numPr>
        <w:jc w:val="both"/>
        <w:rPr>
          <w:rFonts w:cs="Times New Roman"/>
          <w:b/>
          <w:sz w:val="24"/>
          <w:szCs w:val="24"/>
          <w:u w:val="single"/>
          <w:lang w:val="en-US"/>
        </w:rPr>
      </w:pPr>
      <w:r w:rsidRPr="00846EC7">
        <w:rPr>
          <w:rFonts w:cs="Times New Roman"/>
          <w:b/>
          <w:sz w:val="24"/>
          <w:szCs w:val="24"/>
          <w:u w:val="single"/>
          <w:lang w:val="en-US"/>
        </w:rPr>
        <w:t xml:space="preserve">DNA Methylation: </w:t>
      </w:r>
    </w:p>
    <w:p w:rsidR="005250AC" w:rsidRDefault="005250AC" w:rsidP="005250AC">
      <w:pPr>
        <w:jc w:val="both"/>
        <w:rPr>
          <w:rFonts w:cs="Times New Roman"/>
          <w:sz w:val="24"/>
          <w:szCs w:val="24"/>
          <w:lang w:val="en-US"/>
        </w:rPr>
      </w:pPr>
      <w:r>
        <w:rPr>
          <w:rFonts w:cs="Times New Roman"/>
          <w:sz w:val="24"/>
          <w:szCs w:val="24"/>
          <w:lang w:val="en-US"/>
        </w:rPr>
        <w:t xml:space="preserve">According to the manufacturer’s specifications, 500ng of genomic DNA are optimal per sample. 98.5% of samples in this study yielded </w:t>
      </w:r>
      <w:r>
        <w:rPr>
          <w:rFonts w:cstheme="minorHAnsi"/>
          <w:sz w:val="24"/>
          <w:szCs w:val="24"/>
          <w:lang w:val="en-US"/>
        </w:rPr>
        <w:t>≥</w:t>
      </w:r>
      <w:r>
        <w:rPr>
          <w:rFonts w:cs="Times New Roman"/>
          <w:sz w:val="24"/>
          <w:szCs w:val="24"/>
          <w:lang w:val="en-US"/>
        </w:rPr>
        <w:t xml:space="preserve">300ng of genomic DNA. Due to limitation of patient material, 1.5% yielded less than 300ng of genomic DNA. The workflow for processing of Illumina </w:t>
      </w:r>
      <w:proofErr w:type="spellStart"/>
      <w:r>
        <w:rPr>
          <w:rFonts w:cs="Times New Roman"/>
          <w:sz w:val="24"/>
          <w:szCs w:val="24"/>
          <w:lang w:val="en-US"/>
        </w:rPr>
        <w:t>HumanMethylation</w:t>
      </w:r>
      <w:proofErr w:type="spellEnd"/>
      <w:r>
        <w:rPr>
          <w:rFonts w:cs="Times New Roman"/>
          <w:sz w:val="24"/>
          <w:szCs w:val="24"/>
          <w:lang w:val="en-US"/>
        </w:rPr>
        <w:t xml:space="preserve"> 450K </w:t>
      </w:r>
      <w:proofErr w:type="spellStart"/>
      <w:r>
        <w:rPr>
          <w:rFonts w:cs="Times New Roman"/>
          <w:sz w:val="24"/>
          <w:szCs w:val="24"/>
          <w:lang w:val="en-US"/>
        </w:rPr>
        <w:t>Beadchip</w:t>
      </w:r>
      <w:proofErr w:type="spellEnd"/>
      <w:r>
        <w:rPr>
          <w:rFonts w:cs="Times New Roman"/>
          <w:sz w:val="24"/>
          <w:szCs w:val="24"/>
          <w:lang w:val="en-US"/>
        </w:rPr>
        <w:t xml:space="preserve"> (HM450K) was as following:</w:t>
      </w:r>
    </w:p>
    <w:p w:rsidR="005250AC" w:rsidRPr="004969E8" w:rsidRDefault="005250AC" w:rsidP="005250AC">
      <w:pPr>
        <w:jc w:val="both"/>
        <w:rPr>
          <w:rFonts w:cs="Times New Roman"/>
          <w:sz w:val="24"/>
          <w:szCs w:val="24"/>
          <w:lang w:val="en-US"/>
        </w:rPr>
      </w:pPr>
      <w:r w:rsidRPr="004969E8">
        <w:rPr>
          <w:rFonts w:cs="Times New Roman"/>
          <w:sz w:val="24"/>
          <w:szCs w:val="24"/>
          <w:lang w:val="en-US"/>
        </w:rPr>
        <w:t>Genomic DNA was bisulfite-converted, whole-genome ampli</w:t>
      </w:r>
      <w:r>
        <w:rPr>
          <w:rFonts w:cs="Times New Roman"/>
          <w:sz w:val="24"/>
          <w:szCs w:val="24"/>
          <w:lang w:val="en-US"/>
        </w:rPr>
        <w:t xml:space="preserve">fied, fragmented and hybridized </w:t>
      </w:r>
      <w:r w:rsidRPr="004969E8">
        <w:rPr>
          <w:rFonts w:cs="Times New Roman"/>
          <w:sz w:val="24"/>
          <w:szCs w:val="24"/>
          <w:lang w:val="en-US"/>
        </w:rPr>
        <w:t>according to the manufacturer’s protocol [Material #20002138, Document #15019519v01]</w:t>
      </w:r>
      <w:r>
        <w:rPr>
          <w:rFonts w:cs="Times New Roman"/>
          <w:sz w:val="24"/>
          <w:szCs w:val="24"/>
          <w:lang w:val="en-US"/>
        </w:rPr>
        <w:t xml:space="preserve"> </w:t>
      </w:r>
      <w:r w:rsidRPr="004969E8">
        <w:rPr>
          <w:rFonts w:cs="Times New Roman"/>
          <w:sz w:val="24"/>
          <w:szCs w:val="24"/>
          <w:lang w:val="en-US"/>
        </w:rPr>
        <w:t>found at the manufacturer’s webpage [https://support.illumina.com/content/dam/illumina-</w:t>
      </w:r>
    </w:p>
    <w:p w:rsidR="005250AC" w:rsidRDefault="005250AC" w:rsidP="005250AC">
      <w:pPr>
        <w:jc w:val="both"/>
        <w:rPr>
          <w:rFonts w:cs="Times New Roman"/>
          <w:sz w:val="24"/>
          <w:szCs w:val="24"/>
          <w:lang w:val="en-US"/>
        </w:rPr>
      </w:pPr>
      <w:r w:rsidRPr="004969E8">
        <w:rPr>
          <w:rFonts w:cs="Times New Roman"/>
          <w:sz w:val="24"/>
          <w:szCs w:val="24"/>
          <w:lang w:val="en-US"/>
        </w:rPr>
        <w:t>support/documents/documentation/chemistry_document</w:t>
      </w:r>
      <w:r>
        <w:rPr>
          <w:rFonts w:cs="Times New Roman"/>
          <w:sz w:val="24"/>
          <w:szCs w:val="24"/>
          <w:lang w:val="en-US"/>
        </w:rPr>
        <w:t>ation/infinium_assays/infinium_d_m</w:t>
      </w:r>
      <w:r w:rsidRPr="004969E8">
        <w:rPr>
          <w:rFonts w:cs="Times New Roman"/>
          <w:sz w:val="24"/>
          <w:szCs w:val="24"/>
          <w:lang w:val="en-US"/>
        </w:rPr>
        <w:t>ethylation/infinium-hd-methylation-guide-15019519-01.pdf]</w:t>
      </w:r>
      <w:r>
        <w:rPr>
          <w:rFonts w:cs="Times New Roman"/>
          <w:sz w:val="24"/>
          <w:szCs w:val="24"/>
          <w:lang w:val="en-US"/>
        </w:rPr>
        <w:t xml:space="preserve">. </w:t>
      </w:r>
    </w:p>
    <w:p w:rsidR="005250AC" w:rsidRDefault="005250AC" w:rsidP="005250AC">
      <w:pPr>
        <w:jc w:val="both"/>
        <w:rPr>
          <w:rFonts w:cs="Times New Roman"/>
          <w:sz w:val="24"/>
          <w:szCs w:val="24"/>
          <w:lang w:val="en-US"/>
        </w:rPr>
      </w:pPr>
      <w:r>
        <w:rPr>
          <w:rFonts w:cs="Times New Roman"/>
          <w:sz w:val="24"/>
          <w:szCs w:val="24"/>
          <w:lang w:val="en-US"/>
        </w:rPr>
        <w:t xml:space="preserve">The </w:t>
      </w:r>
      <w:proofErr w:type="spellStart"/>
      <w:r>
        <w:rPr>
          <w:rFonts w:cs="Times New Roman"/>
          <w:sz w:val="24"/>
          <w:szCs w:val="24"/>
          <w:lang w:val="en-US"/>
        </w:rPr>
        <w:t>minfi</w:t>
      </w:r>
      <w:proofErr w:type="spellEnd"/>
      <w:r>
        <w:rPr>
          <w:rFonts w:cs="Times New Roman"/>
          <w:sz w:val="24"/>
          <w:szCs w:val="24"/>
          <w:lang w:val="en-US"/>
        </w:rPr>
        <w:t xml:space="preserve"> package (</w:t>
      </w:r>
      <w:r w:rsidRPr="004969E8">
        <w:rPr>
          <w:rFonts w:cs="Times New Roman"/>
          <w:sz w:val="24"/>
          <w:szCs w:val="24"/>
          <w:lang w:val="en-US"/>
        </w:rPr>
        <w:t>v.1.6.1</w:t>
      </w:r>
      <w:r>
        <w:rPr>
          <w:rFonts w:cs="Times New Roman"/>
          <w:sz w:val="24"/>
          <w:szCs w:val="24"/>
          <w:lang w:val="en-US"/>
        </w:rPr>
        <w:t xml:space="preserve">) was </w:t>
      </w:r>
      <w:proofErr w:type="spellStart"/>
      <w:r>
        <w:rPr>
          <w:rFonts w:cs="Times New Roman"/>
          <w:sz w:val="24"/>
          <w:szCs w:val="24"/>
          <w:lang w:val="en-US"/>
        </w:rPr>
        <w:t>utilitized</w:t>
      </w:r>
      <w:proofErr w:type="spellEnd"/>
      <w:r>
        <w:rPr>
          <w:rFonts w:cs="Times New Roman"/>
          <w:sz w:val="24"/>
          <w:szCs w:val="24"/>
          <w:lang w:val="en-US"/>
        </w:rPr>
        <w:t xml:space="preserve"> in R </w:t>
      </w:r>
      <w:proofErr w:type="spellStart"/>
      <w:r>
        <w:rPr>
          <w:rFonts w:cs="Times New Roman"/>
          <w:sz w:val="24"/>
          <w:szCs w:val="24"/>
          <w:lang w:val="en-US"/>
        </w:rPr>
        <w:t>bioconductor</w:t>
      </w:r>
      <w:proofErr w:type="spellEnd"/>
      <w:r>
        <w:rPr>
          <w:rFonts w:cs="Times New Roman"/>
          <w:sz w:val="24"/>
          <w:szCs w:val="24"/>
          <w:lang w:val="en-US"/>
        </w:rPr>
        <w:t xml:space="preserve"> to perform </w:t>
      </w:r>
      <w:proofErr w:type="spellStart"/>
      <w:r>
        <w:rPr>
          <w:rFonts w:cs="Times New Roman"/>
          <w:sz w:val="24"/>
          <w:szCs w:val="24"/>
          <w:lang w:val="en-US"/>
        </w:rPr>
        <w:t>idat</w:t>
      </w:r>
      <w:proofErr w:type="spellEnd"/>
      <w:r>
        <w:rPr>
          <w:rFonts w:cs="Times New Roman"/>
          <w:sz w:val="24"/>
          <w:szCs w:val="24"/>
          <w:lang w:val="en-US"/>
        </w:rPr>
        <w:t xml:space="preserve"> extract and normalization (</w:t>
      </w:r>
      <w:r w:rsidRPr="004969E8">
        <w:rPr>
          <w:rFonts w:cs="Times New Roman"/>
          <w:sz w:val="24"/>
          <w:szCs w:val="24"/>
          <w:lang w:val="en-US"/>
        </w:rPr>
        <w:t>v1.1.456</w:t>
      </w:r>
      <w:r>
        <w:rPr>
          <w:rFonts w:cs="Times New Roman"/>
          <w:sz w:val="24"/>
          <w:szCs w:val="24"/>
          <w:lang w:val="en-US"/>
        </w:rPr>
        <w:t>) and functional normalization</w:t>
      </w:r>
      <w:r>
        <w:rPr>
          <w:rFonts w:cs="Times New Roman"/>
          <w:sz w:val="24"/>
          <w:szCs w:val="24"/>
          <w:lang w:val="en-US"/>
        </w:rPr>
        <w:fldChar w:fldCharType="begin" w:fldLock="1"/>
      </w:r>
      <w:r>
        <w:rPr>
          <w:rFonts w:cs="Times New Roman"/>
          <w:sz w:val="24"/>
          <w:szCs w:val="24"/>
          <w:lang w:val="en-US"/>
        </w:rPr>
        <w:instrText xml:space="preserve">ADDIN CSL_CITATION {"citationItems":[{"id":"ITEM-1","itemData":{"DOI":"10.1093/bioinformatics/btu049","ISSN":"1460-2059","PMID":"24478339","abstract":"MOTIVATION The recently released Infinium HumanMethylation450 array (the '450k' array) provides a high-throughput assay to quantify DNA methylation (DNAm) at </w:instrText>
      </w:r>
      <w:r>
        <w:rPr>
          <w:rFonts w:ascii="Cambria Math" w:hAnsi="Cambria Math" w:cs="Cambria Math"/>
          <w:sz w:val="24"/>
          <w:szCs w:val="24"/>
          <w:lang w:val="en-US"/>
        </w:rPr>
        <w:instrText>∼</w:instrText>
      </w:r>
      <w:r>
        <w:rPr>
          <w:rFonts w:cs="Times New Roman"/>
          <w:sz w:val="24"/>
          <w:szCs w:val="24"/>
          <w:lang w:val="en-US"/>
        </w:rPr>
        <w:instrText>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A.","non-dropping-particle":"","parse-names":false,"suffix":""}],"container-title":"Bioinformatics","id":"ITEM-1","issue":"10","issued":{"date-parts":[["2014","5","15"]]},"page":"1363-1369","title":"Minfi: a flexible and comprehensive Bioconductor package for the analysis of Infinium DNA methylation microarrays","type":"article-journal","volume":"30"},"uris":["http://www.mendeley.com/documents/?uuid=fb6ccfb8-196e-315d-bf94-57789be78b43"]},{"id":"ITEM-2","itemData":{"DOI":"10.1186/s13059-014-0503-2","ISSN":"1474-760X","PMID":"25599564","abstract":"We propose an extension to quantile normalization that removes unwanted technical variation using control probes. We adapt our algorithm, functional normalization, to the Illumina 450k methylation array and address the open problem of normalizing methylation data with global epigenetic changes, such as human cancers. Using data sets from The Cancer Genome Atlas and a large case-control study, we show that our algorithm outperforms all existing normalization methods with respect to replication of results between experiments, and yields robust results even in the presence of batch effects. Functional normalization can be applied to any microarray platform, provided suitable control probes are available.","author":[{"dropping-particle":"","family":"Fortin","given":"Jean-Philippe","non-dropping-particle":"","parse-names":false,"suffix":""},{"dropping-particle":"","family":"Labbe","given":"Aurélie","non-dropping-particle":"","parse-names":false,"suffix":""},{"dropping-particle":"","family":"Lemire","given":"Mathieu","non-dropping-particle":"","parse-names":false,"suffix":""},{"dropping-particle":"","family":"Zanke","given":"Brent W","non-dropping-particle":"","parse-names":false,"suffix":""},{"dropping-particle":"","family":"Hudson","given":"Thomas J","non-dropping-particle":"","parse-names":false,"suffix":""},{"dropping-particle":"","family":"Fertig","given":"Elana J","non-dropping-particle":"","parse-names":false,"suffix":""},{"dropping-particle":"","family":"Greenwood","given":"Celia Mt","non-dropping-particle":"","parse-names":false,"suffix":""},{"dropping-particle":"","family":"Hansen","given":"Kasper D","non-dropping-particle":"","parse-names":false,"suffix":""}],"container-title":"Genome biology","id":"ITEM-2","issue":"12","issued":{"date-parts":[["2014","12","3"]]},"page":"503","publisher":"BioMed Central","title":"Functional normalization of 450k methylation array data improves replication in large cancer studies.","type":"article-journal","volume":"15"},"uris":["http://www.mendeley.com/documents/?uuid=7e41c479-aa99-3e77-87cc-a9991b71f77a"]},{"id":"ITEM-3","itemData":{"author":[{"dropping-particle":"","family":"Team","given":"R core","non-dropping-particle":"","parse-names":false,"suffix":""}],"id":"ITEM-3","issued":{"date-parts":[["2018"]]},"publisher":"R Foundation for Statistical Computing","publisher-place":"Vienna, Austria","title":"R: A Language and Environment for Statistical Computing","type":"article"},"uris":["http://www.mendeley.com/documents/?uuid=3c164adc-0b2f-486c-932b-9c37a7fa8204"]}],"mendeley":{"formattedCitation":"[4–6]","plainTextFormattedCitation":"[4–6]","previouslyFormattedCitation":"[4–6]"},"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[4–6]</w:t>
      </w:r>
      <w:r>
        <w:rPr>
          <w:rFonts w:cs="Times New Roman"/>
          <w:sz w:val="24"/>
          <w:szCs w:val="24"/>
          <w:lang w:val="en-US"/>
        </w:rPr>
        <w:fldChar w:fldCharType="end"/>
      </w:r>
      <w:r>
        <w:rPr>
          <w:rFonts w:cs="Times New Roman"/>
          <w:sz w:val="24"/>
          <w:szCs w:val="24"/>
          <w:lang w:val="en-US"/>
        </w:rPr>
        <w:t xml:space="preserve">. Raw IDAT files </w:t>
      </w:r>
      <w:proofErr w:type="gramStart"/>
      <w:r>
        <w:rPr>
          <w:rFonts w:cs="Times New Roman"/>
          <w:sz w:val="24"/>
          <w:szCs w:val="24"/>
          <w:lang w:val="en-US"/>
        </w:rPr>
        <w:t>were read and preprocessed</w:t>
      </w:r>
      <w:proofErr w:type="gramEnd"/>
      <w:r>
        <w:rPr>
          <w:rFonts w:cs="Times New Roman"/>
          <w:sz w:val="24"/>
          <w:szCs w:val="24"/>
          <w:lang w:val="en-US"/>
        </w:rPr>
        <w:t xml:space="preserve">. Array normalization was carried out using functional normalization </w:t>
      </w:r>
      <w:r>
        <w:rPr>
          <w:rFonts w:cs="Times New Roman"/>
          <w:sz w:val="24"/>
          <w:szCs w:val="24"/>
          <w:lang w:val="en-US"/>
        </w:rPr>
        <w:lastRenderedPageBreak/>
        <w:t>(</w:t>
      </w:r>
      <w:proofErr w:type="spellStart"/>
      <w:proofErr w:type="gramStart"/>
      <w:r>
        <w:rPr>
          <w:rFonts w:cs="Times New Roman"/>
          <w:sz w:val="24"/>
          <w:szCs w:val="24"/>
          <w:lang w:val="en-US"/>
        </w:rPr>
        <w:t>preprocessfunnorm</w:t>
      </w:r>
      <w:proofErr w:type="spellEnd"/>
      <w:r>
        <w:rPr>
          <w:rFonts w:cs="Times New Roman"/>
          <w:sz w:val="24"/>
          <w:szCs w:val="24"/>
          <w:lang w:val="en-US"/>
        </w:rPr>
        <w:t>(</w:t>
      </w:r>
      <w:proofErr w:type="gramEnd"/>
      <w:r>
        <w:rPr>
          <w:rFonts w:cs="Times New Roman"/>
          <w:sz w:val="24"/>
          <w:szCs w:val="24"/>
          <w:lang w:val="en-US"/>
        </w:rPr>
        <w:t xml:space="preserve">) function, in </w:t>
      </w:r>
      <w:proofErr w:type="spellStart"/>
      <w:r>
        <w:rPr>
          <w:rFonts w:cs="Times New Roman"/>
          <w:sz w:val="24"/>
          <w:szCs w:val="24"/>
          <w:lang w:val="en-US"/>
        </w:rPr>
        <w:t>minfi</w:t>
      </w:r>
      <w:proofErr w:type="spellEnd"/>
      <w:r>
        <w:rPr>
          <w:rFonts w:cs="Times New Roman"/>
          <w:sz w:val="24"/>
          <w:szCs w:val="24"/>
          <w:lang w:val="en-US"/>
        </w:rPr>
        <w:t xml:space="preserve">). Quality control </w:t>
      </w:r>
      <w:proofErr w:type="gramStart"/>
      <w:r>
        <w:rPr>
          <w:rFonts w:cs="Times New Roman"/>
          <w:sz w:val="24"/>
          <w:szCs w:val="24"/>
          <w:lang w:val="en-US"/>
        </w:rPr>
        <w:t>was performed</w:t>
      </w:r>
      <w:proofErr w:type="gramEnd"/>
      <w:r>
        <w:rPr>
          <w:rFonts w:cs="Times New Roman"/>
          <w:sz w:val="24"/>
          <w:szCs w:val="24"/>
          <w:lang w:val="en-US"/>
        </w:rPr>
        <w:t xml:space="preserve"> after every preprocessing step. PORT-CT and RCHT cohorts </w:t>
      </w:r>
      <w:proofErr w:type="gramStart"/>
      <w:r>
        <w:rPr>
          <w:rFonts w:cs="Times New Roman"/>
          <w:sz w:val="24"/>
          <w:szCs w:val="24"/>
          <w:lang w:val="en-US"/>
        </w:rPr>
        <w:t>were processed</w:t>
      </w:r>
      <w:proofErr w:type="gramEnd"/>
      <w:r>
        <w:rPr>
          <w:rFonts w:cs="Times New Roman"/>
          <w:sz w:val="24"/>
          <w:szCs w:val="24"/>
          <w:lang w:val="en-US"/>
        </w:rPr>
        <w:t xml:space="preserve"> separately. </w:t>
      </w:r>
      <w:proofErr w:type="gramStart"/>
      <w:r>
        <w:rPr>
          <w:rFonts w:cs="Times New Roman"/>
          <w:sz w:val="24"/>
          <w:szCs w:val="24"/>
          <w:lang w:val="en-US"/>
        </w:rPr>
        <w:t>No batch control measures</w:t>
      </w:r>
      <w:proofErr w:type="gramEnd"/>
      <w:r>
        <w:rPr>
          <w:rFonts w:cs="Times New Roman"/>
          <w:sz w:val="24"/>
          <w:szCs w:val="24"/>
          <w:lang w:val="en-US"/>
        </w:rPr>
        <w:t xml:space="preserve"> were performed. After normalization, probes that map to SNPs</w:t>
      </w:r>
      <w:r>
        <w:rPr>
          <w:rFonts w:cs="Times New Roman"/>
          <w:sz w:val="24"/>
          <w:szCs w:val="24"/>
          <w:lang w:val="en-US"/>
        </w:rPr>
        <w:fldChar w:fldCharType="begin" w:fldLock="1"/>
      </w:r>
      <w:r>
        <w:rPr>
          <w:rFonts w:cs="Times New Roman"/>
          <w:sz w:val="24"/>
          <w:szCs w:val="24"/>
          <w:lang w:val="en-US"/>
        </w:rPr>
        <w:instrText>ADDIN CSL_CITATION {"citationItems":[{"id":"ITEM-1","itemData":{"DOI":"10.1093/bib/bbt054","ISSN":"1467-5463","PMID":"23990268","abstract":"Infinium HumanMethylation450 beadarray is a popular technology to explore DNA methylomes in health and disease, and there is a current explosion in the use of this technique. Despite experience acquired from gene expression microarrays, analyzing Infinium Methylation arrays appeared more complex than initially thought and several difficulties have been encountered, as those arrays display specific features that need to be taken into consideration during data processing. Here, we review several issues that have been highlighted by the scientific community, and we present an overview of the general data processing scheme and an evaluation of the different normalization methods available to date to guide the 450K users in their analysis and data interpretation.","author":[{"dropping-particle":"","family":"Dedeurwaerder","given":"S.","non-dropping-particle":"","parse-names":false,"suffix":""},{"dropping-particle":"","family":"Defrance","given":"M.","non-dropping-particle":"","parse-names":false,"suffix":""},{"dropping-particle":"","family":"Bizet","given":"M.","non-dropping-particle":"","parse-names":false,"suffix":""},{"dropping-particle":"","family":"Calonne","given":"E.","non-dropping-particle":"","parse-names":false,"suffix":""},{"dropping-particle":"","family":"Bontempi","given":"G.","non-dropping-particle":"","parse-names":false,"suffix":""},{"dropping-particle":"","family":"Fuks","given":"F.","non-dropping-particle":"","parse-names":false,"suffix":""}],"container-title":"Briefings in Bioinformatics","id":"ITEM-1","issue":"6","issued":{"date-parts":[["2014","11","1"]]},"page":"929-941","title":"A comprehensive overview of Infinium HumanMethylation450 data processing","type":"article-journal","volume":"15"},"uris":["http://www.mendeley.com/documents/?uuid=6b39503d-daf9-303f-a358-83bc3639fd03"]}],"mendeley":{"formattedCitation":"[7]","plainTextFormattedCitation":"[7]","previouslyFormattedCitation":"[7]"},"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[7]</w:t>
      </w:r>
      <w:r>
        <w:rPr>
          <w:rFonts w:cs="Times New Roman"/>
          <w:sz w:val="24"/>
          <w:szCs w:val="24"/>
          <w:lang w:val="en-US"/>
        </w:rPr>
        <w:fldChar w:fldCharType="end"/>
      </w:r>
      <w:r>
        <w:rPr>
          <w:rFonts w:cs="Times New Roman"/>
          <w:sz w:val="24"/>
          <w:szCs w:val="24"/>
          <w:lang w:val="en-US"/>
        </w:rPr>
        <w:t>, cross reactive probes</w:t>
      </w:r>
      <w:r>
        <w:rPr>
          <w:rFonts w:cs="Times New Roman"/>
          <w:sz w:val="24"/>
          <w:szCs w:val="24"/>
          <w:lang w:val="en-US"/>
        </w:rPr>
        <w:fldChar w:fldCharType="begin" w:fldLock="1"/>
      </w:r>
      <w:r>
        <w:rPr>
          <w:rFonts w:cs="Times New Roman"/>
          <w:sz w:val="24"/>
          <w:szCs w:val="24"/>
          <w:lang w:val="en-US"/>
        </w:rPr>
        <w:instrText>ADDIN CSL_CITATION {"citationItems":[{"id":"ITEM-1","itemData":{"DOI":"10.4161/epi.23470","ISSN":"1559-2308","PMID":"23314698","abstract":"DNA methylation, an important type of epigenetic modification in humans, participates in crucial cellular processes, such as embryonic development, X-inactivation, genomic imprinting and chromosome stability. Several platforms have been developed to study genome-wide DNA methylation. Many investigators in the field have chosen the Illumina Infinium HumanMethylation microarray for its ability to reliably assess DNA methylation following sodium bisulfite conversion. Here, we analyzed methylation profiles of 489 adult males and 357 adult females generated by the Infinium HumanMethylation450 microarray. Among the autosomal CpG sites that displayed significant methylation differences between the two sexes, we observed a significant enrichment of cross-reactive probes co-hybridizing to the sex chromosomes with more than 94% sequence identity. This could lead investigators to mistakenly infer the existence of significant autosomal sex-associated methylation. Using sequence identity cutoffs derived from the sex methylation analysis, we concluded that 6% of the array probes can potentially generate spurious signals because of co-hybridization to alternate genomic sequences highly homologous to the intended targets. Additionally, we discovered probes targeting polymorphic CpGs that overlapped SNPs. The methylation levels detected by these probes are simply the reflection of underlying genetic polymorphisms but could be misinterpreted as true signals. The existence of probes that are cross-reactive or of target polymorphic CpGs in the Illumina HumanMethylation microarrays can confound data obtained from such microarrays. Therefore, investigators should exercise caution when significant biological associations are found using these array platforms. A list of all cross-reactive probes and polymorphic CpGs identified by us are annotated in this paper.","author":[{"dropping-particle":"","family":"Chen","given":"Yi-an","non-dropping-particle":"","parse-names":false,"suffix":""},{"dropping-particle":"","family":"Lemire","given":"Mathieu","non-dropping-particle":"","parse-names":false,"suffix":""},{"dropping-particle":"","family":"Choufani","given":"Sanaa","non-dropping-particle":"","parse-names":false,"suffix":""},{"dropping-particle":"","family":"Butcher","given":"Darci T","non-dropping-particle":"","parse-names":false,"suffix":""},{"dropping-particle":"","family":"Grafodatskaya","given":"Daria","non-dropping-particle":"","parse-names":false,"suffix":""},{"dropping-particle":"","family":"Zanke","given":"Brent W","non-dropping-particle":"","parse-names":false,"suffix":""},{"dropping-particle":"","family":"Gallinger","given":"Steven","non-dropping-particle":"","parse-names":false,"suffix":""},{"dropping-particle":"","family":"Hudson","given":"Thomas J","non-dropping-particle":"","parse-names":false,"suffix":""},{"dropping-particle":"","family":"Weksberg","given":"Rosanna","non-dropping-particle":"","parse-names":false,"suffix":""}],"container-title":"Epigenetics","id":"ITEM-1","issue":"2","issued":{"date-parts":[["2013","2"]]},"page":"203-9","publisher":"Taylor &amp; Francis","title":"Discovery of cross-reactive probes and polymorphic CpGs in the Illumina Infinium HumanMethylation450 microarray.","type":"article-journal","volume":"8"},"uris":["http://www.mendeley.com/documents/?uuid=674f1f4c-12f5-3b99-a21b-e2441f8c735b"]}],"mendeley":{"formattedCitation":"[8]","plainTextFormattedCitation":"[8]","previouslyFormattedCitation":"[8]"},"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[8]</w:t>
      </w:r>
      <w:r>
        <w:rPr>
          <w:rFonts w:cs="Times New Roman"/>
          <w:sz w:val="24"/>
          <w:szCs w:val="24"/>
          <w:lang w:val="en-US"/>
        </w:rPr>
        <w:fldChar w:fldCharType="end"/>
      </w:r>
      <w:r>
        <w:rPr>
          <w:rFonts w:cs="Times New Roman"/>
          <w:sz w:val="24"/>
          <w:szCs w:val="24"/>
          <w:lang w:val="en-US"/>
        </w:rPr>
        <w:t xml:space="preserve"> and probes that map to sex chromosomes were filtered out. Additionally, defective probes (p-value relative to control &gt;0.05) were filtered using </w:t>
      </w:r>
      <w:proofErr w:type="spellStart"/>
      <w:r>
        <w:rPr>
          <w:rFonts w:cs="Times New Roman"/>
          <w:sz w:val="24"/>
          <w:szCs w:val="24"/>
          <w:lang w:val="en-US"/>
        </w:rPr>
        <w:t>minfi</w:t>
      </w:r>
      <w:proofErr w:type="spellEnd"/>
      <w:r>
        <w:rPr>
          <w:rFonts w:cs="Times New Roman"/>
          <w:sz w:val="24"/>
          <w:szCs w:val="24"/>
          <w:lang w:val="en-US"/>
        </w:rPr>
        <w:t xml:space="preserve"> R package.  </w:t>
      </w:r>
    </w:p>
    <w:p w:rsidR="005250AC" w:rsidRDefault="005250AC" w:rsidP="005250AC">
      <w:pPr>
        <w:pStyle w:val="ListParagraph"/>
        <w:numPr>
          <w:ilvl w:val="0"/>
          <w:numId w:val="1"/>
        </w:numPr>
        <w:jc w:val="both"/>
        <w:rPr>
          <w:rFonts w:cs="Times New Roman"/>
          <w:b/>
          <w:sz w:val="24"/>
          <w:szCs w:val="24"/>
          <w:u w:val="single"/>
          <w:lang w:val="en-US"/>
        </w:rPr>
      </w:pPr>
      <w:r>
        <w:rPr>
          <w:rFonts w:cs="Times New Roman"/>
          <w:b/>
          <w:sz w:val="24"/>
          <w:szCs w:val="24"/>
          <w:u w:val="single"/>
          <w:lang w:val="en-US"/>
        </w:rPr>
        <w:t>Hypoxia-M signature derivation, prediction and validation:</w:t>
      </w:r>
    </w:p>
    <w:p w:rsidR="005250AC" w:rsidRPr="00965D71" w:rsidRDefault="005250AC" w:rsidP="005250AC">
      <w:pPr>
        <w:jc w:val="both"/>
        <w:rPr>
          <w:rFonts w:cs="Times New Roman"/>
          <w:sz w:val="24"/>
          <w:szCs w:val="24"/>
          <w:lang w:val="en-US"/>
        </w:rPr>
      </w:pPr>
      <w:r>
        <w:rPr>
          <w:rFonts w:cs="Times New Roman"/>
          <w:sz w:val="24"/>
          <w:szCs w:val="24"/>
          <w:lang w:val="en-US"/>
        </w:rPr>
        <w:t>Derivation of Hypoxia-M was previously reported in a detailed step-by-step in the methods and supplementary methods of the original publication establishing Hypoxia-M</w:t>
      </w:r>
      <w:r>
        <w:rPr>
          <w:rFonts w:cs="Times New Roman"/>
          <w:sz w:val="24"/>
          <w:szCs w:val="24"/>
          <w:lang w:val="en-US"/>
        </w:rPr>
        <w:fldChar w:fldCharType="begin" w:fldLock="1"/>
      </w:r>
      <w:r>
        <w:rPr>
          <w:rFonts w:cs="Times New Roman"/>
          <w:sz w:val="24"/>
          <w:szCs w:val="24"/>
          <w:lang w:val="en-US"/>
        </w:rPr>
        <w:instrText>ADDIN CSL_CITATION {"citationItems":[{"id":"ITEM-1","itemData":{"DOI":"10.1158/1078-0432.CCR-22-3790","abstract":"</w:instrText>
      </w:r>
      <w:r>
        <w:rPr>
          <w:rFonts w:ascii="Cambria Math" w:hAnsi="Cambria Math" w:cs="Cambria Math"/>
          <w:sz w:val="24"/>
          <w:szCs w:val="24"/>
          <w:lang w:val="en-US"/>
        </w:rPr>
        <w:instrText>◥</w:instrText>
      </w:r>
      <w:r>
        <w:rPr>
          <w:rFonts w:cs="Times New Roman"/>
          <w:sz w:val="24"/>
          <w:szCs w:val="24"/>
          <w:lang w:val="en-US"/>
        </w:rPr>
        <w:instrText xml:space="preserve"> Purpose: Tumor hypoxia is a paradigmatic negative prognosti-cator of treatment resistance in head and neck squamous cell carcinoma (HNSCC). The lack of robust and reliable hypoxia classifiers limits the adaptation of stratified therapies. We hypothesized that the tumor DNA methylation landscape might indicate epigenetic reprogramming induced by chronic intratumoral hypoxia. Experimental Design: A DNA-methylome-based tumor hyp-oxia classifier (Hypoxia-M) was trained in the TCGA (The Cancer Genome Atlas)-HNSCC cohort based on matched assignments using gene expression-based signatures of hypoxia (Hypoxia-GES). Hypoxia-M was validated in a multicenter DKTK-ROG trial consisting of human papillomavirus (HPV)-negative patients with HNSCC treated with primary radiochemotherapy (RCHT). Results: Although hypoxia-GES failed to stratify patients in the DKTK-ROG, Hypoxia-M was independently prognostic for local recurrence (HR, 4.3; P ¼ 0.001) and overall survival (HR, 2.34; P ¼ 0.03) but not distant metastasis after RCHT in both cohorts. Hypoxia-M status was inversely associated with CD8 T-cell infiltration in both cohorts. Hypoxia-M was further prognostic in the TCGA-PanCancer cohort (HR, 1.83; P ¼ 0.04), underscoring the breadth of this classifier for predicting tumor hypoxia status. Conclusions: Our findings highlight an unexplored avenue for DNA methylation-based classifiers as biomarkers of tumoral hyp-oxia for identifying high-risk features in patients with HNSCC tumors.","author":[{"dropping-particle":"","family":"Tawk","given":"Bouchra","non-dropping-particle":"","parse-names":false,"suffix":""},{"dropping-particle":"","family":"Rein","given":"Katrin","non-dropping-particle":"","parse-names":false,"suffix":""},{"dropping-particle":"","family":"Schwager","given":"Christian","non-dropping-particle":"","parse-names":false,"suffix":""},{"dropping-particle":"","family":"Knoll","given":"Maximilian","non-dropping-particle":"","parse-names":false,"suffix":""},{"dropping-particle":"","family":"Wirkner","given":"Ute","non-dropping-particle":"","parse-names":false,"suffix":""},{"dropping-particle":"","family":"Hörner-Rieber","given":"Juliane","non-dropping-particle":"","parse-names":false,"suffix":""},{"dropping-particle":"","family":"Liermann","given":"Jakob","non-dropping-particle":"","parse-names":false,"suffix":""},{"dropping-particle":"","family":"Kurth","given":"Ina","non-dropping-particle":"","parse-names":false,"suffix":""},{"dropping-particle":"","family":"Balermpas","given":"Panagiotis","non-dropping-particle":"","parse-names":false,"suffix":""},{"dropping-particle":"","family":"Rödel","given":"Claus","non-dropping-particle":"","parse-names":false,"suffix":""},{"dropping-particle":"","family":"Linge","given":"Annett","non-dropping-particle":"","parse-names":false,"suffix":""},{"dropping-particle":"","family":"Löck","given":"Steffen","non-dropping-particle":"","parse-names":false,"suffix":""},{"dropping-particle":"","family":"Lohaus","given":"Fabian","non-dropping-particle":"","parse-names":false,"suffix":""},{"dropping-particle":"","family":"Tinhofer","given":"Ingeborg","non-dropping-particle":"","parse-names":false,"suffix":""},{"dropping-particle":"","family":"Krause","given":"Mechtild","non-dropping-particle":"","parse-names":false,"suffix":""},{"dropping-particle":"","family":"Stuschke","given":"Martin","non-dropping-particle":"","parse-names":false,"suffix":""},{"dropping-particle":"","family":"Grosu","given":"Anca Ligia","non-dropping-particle":"","parse-names":false,"suffix":""},{"dropping-particle":"","family":"Zips","given":"Daniel","non-dropping-particle":"","parse-names":false,"suffix":""},{"dropping-particle":"","family":"Combs","given":"Stephanie E.","non-dropping-particle":"","parse-names":false,"suffix":""},{"dropping-particle":"","family":"Belka","given":"Claus","non-dropping-particle":"","parse-names":false,"suffix":""},{"dropping-particle":"","family":"Stenzinger","given":"Albrecht","non-dropping-particle":"","parse-names":false,"suffix":""},{"dropping-particle":"","family":"Herold-Mende","given":"Christel","non-dropping-particle":"","parse-names":false,"suffix":""},{"dropping-particle":"","family":"Baumann","given":"Michael","non-dropping-particle":"","parse-names":false,"suffix":""},{"dropping-particle":"","family":"Schirmacher","given":"Peter","non-dropping-particle":"","parse-names":false,"suffix":""},{"dropping-particle":"","family":"Debus","given":"Jürgen","non-dropping-particle":"","parse-names":false,"suffix":""},{"dropping-particle":"","family":"Abdollahi","given":"Amir","non-dropping-particle":"","parse-names":false,"suffix":""}],"container-title":"Clinical Cancer Research","id":"ITEM-1","issue":"5","issued":{"date-parts":[["2023","5","2"]]},"page":"OF1-OF14","publisher":"XX-XX","title":"DNA-Methylome–Based Tumor Hypoxia Classifier Identifies HPV-Negative Head and Neck Cancer Patients at Risk for Locoregional Recurrence after Primary Radiochemotherapy","type":"article-journal","volume":"5"},"uris":["http://www.mendeley.com/documents/?uuid=17b649a1-88b6-3d44-855d-b55cfd6534ef"]}],"mendeley":{"formattedCitation":"[9]","plainTextFormattedCitation":"[9]","previouslyFormattedCitation":"[9]"},"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[9]</w:t>
      </w:r>
      <w:r>
        <w:rPr>
          <w:rFonts w:cs="Times New Roman"/>
          <w:sz w:val="24"/>
          <w:szCs w:val="24"/>
          <w:lang w:val="en-US"/>
        </w:rPr>
        <w:fldChar w:fldCharType="end"/>
      </w:r>
      <w:r>
        <w:rPr>
          <w:rFonts w:cs="Times New Roman"/>
          <w:sz w:val="24"/>
          <w:szCs w:val="24"/>
          <w:lang w:val="en-US"/>
        </w:rPr>
        <w:t xml:space="preserve">. </w:t>
      </w:r>
      <w:r w:rsidRPr="00965D71">
        <w:rPr>
          <w:rFonts w:cs="Times New Roman"/>
          <w:sz w:val="24"/>
          <w:szCs w:val="24"/>
          <w:lang w:val="en-US"/>
        </w:rPr>
        <w:t>All statistical ana</w:t>
      </w:r>
      <w:r>
        <w:rPr>
          <w:rFonts w:cs="Times New Roman"/>
          <w:sz w:val="24"/>
          <w:szCs w:val="24"/>
          <w:lang w:val="en-US"/>
        </w:rPr>
        <w:t xml:space="preserve">lyses </w:t>
      </w:r>
      <w:proofErr w:type="gramStart"/>
      <w:r>
        <w:rPr>
          <w:rFonts w:cs="Times New Roman"/>
          <w:sz w:val="24"/>
          <w:szCs w:val="24"/>
          <w:lang w:val="en-US"/>
        </w:rPr>
        <w:t>were performed</w:t>
      </w:r>
      <w:proofErr w:type="gramEnd"/>
      <w:r>
        <w:rPr>
          <w:rFonts w:cs="Times New Roman"/>
          <w:sz w:val="24"/>
          <w:szCs w:val="24"/>
          <w:lang w:val="en-US"/>
        </w:rPr>
        <w:t xml:space="preserve"> using R in </w:t>
      </w:r>
      <w:proofErr w:type="spellStart"/>
      <w:r>
        <w:rPr>
          <w:rFonts w:cs="Times New Roman"/>
          <w:sz w:val="24"/>
          <w:szCs w:val="24"/>
          <w:lang w:val="en-US"/>
        </w:rPr>
        <w:t>Rstudio</w:t>
      </w:r>
      <w:proofErr w:type="spellEnd"/>
      <w:r>
        <w:rPr>
          <w:rFonts w:cs="Times New Roman"/>
          <w:sz w:val="24"/>
          <w:szCs w:val="24"/>
          <w:lang w:val="en-US"/>
        </w:rPr>
        <w:t xml:space="preserve"> environment. The Cancer Genome Atlas (TCGA)-HNSCC cohort </w:t>
      </w:r>
      <w:proofErr w:type="gramStart"/>
      <w:r>
        <w:rPr>
          <w:rFonts w:cs="Times New Roman"/>
          <w:sz w:val="24"/>
          <w:szCs w:val="24"/>
          <w:lang w:val="en-US"/>
        </w:rPr>
        <w:t>was used</w:t>
      </w:r>
      <w:proofErr w:type="gramEnd"/>
      <w:r>
        <w:rPr>
          <w:rFonts w:cs="Times New Roman"/>
          <w:sz w:val="24"/>
          <w:szCs w:val="24"/>
          <w:lang w:val="en-US"/>
        </w:rPr>
        <w:t xml:space="preserve"> as the training cohort.</w:t>
      </w:r>
    </w:p>
    <w:p w:rsidR="005250AC" w:rsidRDefault="005250AC" w:rsidP="005250AC">
      <w:pPr>
        <w:jc w:val="both"/>
        <w:rPr>
          <w:rFonts w:cs="Times New Roman"/>
          <w:sz w:val="24"/>
          <w:szCs w:val="24"/>
          <w:lang w:val="en-US"/>
        </w:rPr>
      </w:pPr>
      <w:r>
        <w:rPr>
          <w:rFonts w:cs="Times New Roman"/>
          <w:sz w:val="24"/>
          <w:szCs w:val="24"/>
          <w:lang w:val="en-US"/>
        </w:rPr>
        <w:t xml:space="preserve">First, the </w:t>
      </w:r>
      <w:proofErr w:type="gramStart"/>
      <w:r>
        <w:rPr>
          <w:rFonts w:cs="Times New Roman"/>
          <w:sz w:val="24"/>
          <w:szCs w:val="24"/>
          <w:lang w:val="en-US"/>
        </w:rPr>
        <w:t>most hypervariable methylation probes</w:t>
      </w:r>
      <w:proofErr w:type="gramEnd"/>
      <w:r>
        <w:rPr>
          <w:rFonts w:cs="Times New Roman"/>
          <w:sz w:val="24"/>
          <w:szCs w:val="24"/>
          <w:lang w:val="en-US"/>
        </w:rPr>
        <w:t xml:space="preserve"> were selected using two approaches (Supplementary Figure 3, see below).</w:t>
      </w:r>
    </w:p>
    <w:p w:rsidR="005250AC" w:rsidRDefault="005250AC" w:rsidP="005250AC">
      <w:pPr>
        <w:jc w:val="both"/>
        <w:rPr>
          <w:rFonts w:cs="Times New Roman"/>
          <w:sz w:val="24"/>
          <w:szCs w:val="24"/>
          <w:lang w:val="en-US"/>
        </w:rPr>
      </w:pPr>
      <w:r w:rsidRPr="004C76E3">
        <w:rPr>
          <w:rFonts w:cs="Times New Roman"/>
          <w:sz w:val="24"/>
          <w:szCs w:val="24"/>
          <w:u w:val="single"/>
          <w:lang w:val="en-US"/>
        </w:rPr>
        <w:t>Approach 1:</w:t>
      </w:r>
      <w:r>
        <w:rPr>
          <w:rFonts w:cs="Times New Roman"/>
          <w:sz w:val="24"/>
          <w:szCs w:val="24"/>
          <w:lang w:val="en-US"/>
        </w:rPr>
        <w:t xml:space="preserve"> </w:t>
      </w:r>
      <w:r w:rsidRPr="00632AD1">
        <w:rPr>
          <w:rFonts w:cs="Times New Roman"/>
          <w:sz w:val="24"/>
          <w:szCs w:val="24"/>
          <w:lang w:val="en-US"/>
        </w:rPr>
        <w:t xml:space="preserve">First, the </w:t>
      </w:r>
      <w:proofErr w:type="gramStart"/>
      <w:r w:rsidRPr="00632AD1">
        <w:rPr>
          <w:rFonts w:cs="Times New Roman"/>
          <w:sz w:val="24"/>
          <w:szCs w:val="24"/>
          <w:lang w:val="en-US"/>
        </w:rPr>
        <w:t>most hypervariable methylation probe</w:t>
      </w:r>
      <w:r>
        <w:rPr>
          <w:rFonts w:cs="Times New Roman"/>
          <w:sz w:val="24"/>
          <w:szCs w:val="24"/>
          <w:lang w:val="en-US"/>
        </w:rPr>
        <w:t>s</w:t>
      </w:r>
      <w:proofErr w:type="gramEnd"/>
      <w:r>
        <w:rPr>
          <w:rFonts w:cs="Times New Roman"/>
          <w:sz w:val="24"/>
          <w:szCs w:val="24"/>
          <w:lang w:val="en-US"/>
        </w:rPr>
        <w:t xml:space="preserve"> were selected</w:t>
      </w:r>
      <w:r w:rsidRPr="00632AD1">
        <w:rPr>
          <w:rFonts w:cs="Times New Roman"/>
          <w:sz w:val="24"/>
          <w:szCs w:val="24"/>
          <w:lang w:val="en-US"/>
        </w:rPr>
        <w:t xml:space="preserve">. </w:t>
      </w:r>
      <w:r>
        <w:rPr>
          <w:rFonts w:cs="Times New Roman"/>
          <w:sz w:val="24"/>
          <w:szCs w:val="24"/>
          <w:lang w:val="en-US"/>
        </w:rPr>
        <w:t>Beta</w:t>
      </w:r>
      <w:r w:rsidRPr="00632AD1">
        <w:rPr>
          <w:rFonts w:cs="Times New Roman"/>
          <w:sz w:val="24"/>
          <w:szCs w:val="24"/>
          <w:lang w:val="en-US"/>
        </w:rPr>
        <w:t xml:space="preserve"> methylation values were used (distribution of values from </w:t>
      </w:r>
      <w:proofErr w:type="gramStart"/>
      <w:r w:rsidRPr="00632AD1">
        <w:rPr>
          <w:rFonts w:cs="Times New Roman"/>
          <w:sz w:val="24"/>
          <w:szCs w:val="24"/>
          <w:lang w:val="en-US"/>
        </w:rPr>
        <w:t>0</w:t>
      </w:r>
      <w:proofErr w:type="gramEnd"/>
      <w:r w:rsidRPr="00632AD1">
        <w:rPr>
          <w:rFonts w:cs="Times New Roman"/>
          <w:sz w:val="24"/>
          <w:szCs w:val="24"/>
          <w:lang w:val="en-US"/>
        </w:rPr>
        <w:t xml:space="preserve"> to 1). Probes with a mean value less than 0.05 or more than 0.95 </w:t>
      </w:r>
      <w:proofErr w:type="gramStart"/>
      <w:r w:rsidRPr="00632AD1">
        <w:rPr>
          <w:rFonts w:cs="Times New Roman"/>
          <w:sz w:val="24"/>
          <w:szCs w:val="24"/>
          <w:lang w:val="en-US"/>
        </w:rPr>
        <w:t>were filtered</w:t>
      </w:r>
      <w:proofErr w:type="gramEnd"/>
      <w:r w:rsidRPr="00632AD1">
        <w:rPr>
          <w:rFonts w:cs="Times New Roman"/>
          <w:sz w:val="24"/>
          <w:szCs w:val="24"/>
          <w:lang w:val="en-US"/>
        </w:rPr>
        <w:t>. The standard deviation (SD) for each probe was then calculated. The difference (delta, Δ) between the mean and SD was calcu</w:t>
      </w:r>
      <w:r>
        <w:rPr>
          <w:rFonts w:cs="Times New Roman"/>
          <w:sz w:val="24"/>
          <w:szCs w:val="24"/>
          <w:lang w:val="en-US"/>
        </w:rPr>
        <w:t>lated (Δ=absolute value [mean-SD]</w:t>
      </w:r>
      <w:r w:rsidRPr="00632AD1">
        <w:rPr>
          <w:rFonts w:cs="Times New Roman"/>
          <w:sz w:val="24"/>
          <w:szCs w:val="24"/>
          <w:lang w:val="en-US"/>
        </w:rPr>
        <w:t>). Probes with a high Δ&gt;0.6 or low Δ&lt;0.2 were filtered out. Finally, the 50th percentile for the SD</w:t>
      </w:r>
      <w:r>
        <w:rPr>
          <w:rFonts w:cs="Times New Roman"/>
          <w:sz w:val="24"/>
          <w:szCs w:val="24"/>
          <w:lang w:val="en-US"/>
        </w:rPr>
        <w:t>s</w:t>
      </w:r>
      <w:r w:rsidRPr="00632AD1">
        <w:rPr>
          <w:rFonts w:cs="Times New Roman"/>
          <w:sz w:val="24"/>
          <w:szCs w:val="24"/>
          <w:lang w:val="en-US"/>
        </w:rPr>
        <w:t xml:space="preserve"> </w:t>
      </w:r>
      <w:proofErr w:type="gramStart"/>
      <w:r w:rsidRPr="00632AD1">
        <w:rPr>
          <w:rFonts w:cs="Times New Roman"/>
          <w:sz w:val="24"/>
          <w:szCs w:val="24"/>
          <w:lang w:val="en-US"/>
        </w:rPr>
        <w:t>was calculated</w:t>
      </w:r>
      <w:proofErr w:type="gramEnd"/>
      <w:r w:rsidRPr="00632AD1">
        <w:rPr>
          <w:rFonts w:cs="Times New Roman"/>
          <w:sz w:val="24"/>
          <w:szCs w:val="24"/>
          <w:lang w:val="en-US"/>
        </w:rPr>
        <w:t xml:space="preserve"> for the remaining probes. Probes with an </w:t>
      </w:r>
      <w:r>
        <w:rPr>
          <w:rFonts w:cs="Times New Roman"/>
          <w:sz w:val="24"/>
          <w:szCs w:val="24"/>
          <w:lang w:val="en-US"/>
        </w:rPr>
        <w:t>SD</w:t>
      </w:r>
      <w:r w:rsidRPr="00632AD1">
        <w:rPr>
          <w:rFonts w:cs="Times New Roman"/>
          <w:sz w:val="24"/>
          <w:szCs w:val="24"/>
          <w:lang w:val="en-US"/>
        </w:rPr>
        <w:t xml:space="preserve"> larger than or equal to the 50th percentile </w:t>
      </w:r>
      <w:proofErr w:type="gramStart"/>
      <w:r w:rsidRPr="00632AD1">
        <w:rPr>
          <w:rFonts w:cs="Times New Roman"/>
          <w:sz w:val="24"/>
          <w:szCs w:val="24"/>
          <w:lang w:val="en-US"/>
        </w:rPr>
        <w:t>were kept</w:t>
      </w:r>
      <w:proofErr w:type="gramEnd"/>
      <w:r w:rsidRPr="00632AD1">
        <w:rPr>
          <w:rFonts w:cs="Times New Roman"/>
          <w:sz w:val="24"/>
          <w:szCs w:val="24"/>
          <w:lang w:val="en-US"/>
        </w:rPr>
        <w:t>, leaving 55,552 probes for analysis.</w:t>
      </w:r>
      <w:r>
        <w:rPr>
          <w:rFonts w:cs="Times New Roman"/>
          <w:sz w:val="24"/>
          <w:szCs w:val="24"/>
          <w:lang w:val="en-US"/>
        </w:rPr>
        <w:t xml:space="preserve"> To identify differentially methylated probes (DMPs) associated with Gene Expression Signatures (GES) of hypoxia, two previously validated  GES signatures from </w:t>
      </w:r>
      <w:proofErr w:type="spellStart"/>
      <w:r>
        <w:rPr>
          <w:rFonts w:cs="Times New Roman"/>
          <w:sz w:val="24"/>
          <w:szCs w:val="24"/>
          <w:lang w:val="en-US"/>
        </w:rPr>
        <w:t>Toustrup</w:t>
      </w:r>
      <w:proofErr w:type="spellEnd"/>
      <w:r>
        <w:rPr>
          <w:rFonts w:cs="Times New Roman"/>
          <w:sz w:val="24"/>
          <w:szCs w:val="24"/>
          <w:lang w:val="en-US"/>
        </w:rPr>
        <w:fldChar w:fldCharType="begin" w:fldLock="1"/>
      </w:r>
      <w:r>
        <w:rPr>
          <w:rFonts w:cs="Times New Roman"/>
          <w:sz w:val="24"/>
          <w:szCs w:val="24"/>
          <w:lang w:val="en-US"/>
        </w:rPr>
        <w:instrText>ADDIN CSL_CITATION {"citationItems":[{"id":"ITEM-1","itemData":{"DOI":"10.1016/J.RADONC.2011.09.010","ISSN":"0167-8140","abstract":"PURPOSE\nTo validate the predictive impact of a hypoxia gene expression classifier in identifying patients with head and neck squamous cell carcinoma (HNSCC) having benefit from hypoxic modification of radiotherapy. \n\nPATIENTS AND METHODS\nGene expressions were quantified from formalin-fixed, paraffin-embedded tumour biopsies of 323 HNSCC patients randomized for placebo or nimorazole in conjunction with radiotherapy in the DAHANCA 5 study. Tumours were classified as either “more” or “less” hypoxic with a classifier constituting of 15 hypoxia responsive genes. The predictive impact was evaluated by analysing the response to nimorazole vs. placebo in terms of loco-regional tumour control (LRC) and disease-specific survival (DSS) in the two classified groups. \n\nRESULTS\nHundred and fourteen patients (35%) were classified as having “more” hypoxic tumours. These patients had a significant benefit of hypoxic modification with nimorazole compared with placebo in terms of LRC (5-year actuarial values 49% vs. 18%; p=0.001) and DSS (48% vs. 30%; p=0.04). “Less” hypoxic tumours had no significant effect of hypoxic modification (LRC: 50% vs. 44%; p=0.39, DSS: 57% vs. 51%; p=0.49) and generally an outcome, which was similar to “more” hypoxic tumours treated with nimorazole. In contrast to HPV-negative tumours, HPV-positive tumours had a substantially better outcome in response to radiotherapy, which was irrespective of hypoxic modification. \n\nCONCLUSIONS\nA predictive 15-gene hypoxia classifier could identify patients associated with improved outcome after combining radiotherapy with hypoxic modification and underlines the relevance of such therapy. The impact of the classifier was limited to HPV-negative tumours.","author":[{"dropping-particle":"","family":"Toustrup","given":"Kasper","non-dropping-particle":"","parse-names":false,"suffix":""},{"dropping-particle":"","family":"Sørensen","given":"Brita Singers","non-dropping-particle":"","parse-names":false,"suffix":""},{"dropping-particle":"","family":"Lassen","given":"Pernille","non-dropping-particle":"","parse-names":false,"suffix":""},{"dropping-particle":"","family":"Wiuf","given":"Carsten","non-dropping-particle":"","parse-names":false,"suffix":""},{"dropping-particle":"","family":"Alsner","given":"Jan","non-dropping-particle":"","parse-names":false,"suffix":""},{"dropping-particle":"","family":"Overgaard","given":"Jens","non-dropping-particle":"","parse-names":false,"suffix":""}],"container-title":"Radiotherapy and Oncology","id":"ITEM-1","issue":"1","issued":{"date-parts":[["2012","1","1"]]},"page":"122-129","publisher":"Elsevier","title":"Gene expression classifier predicts for hypoxic modification of radiotherapy with nimorazole in squamous cell carcinomas of the head and neck","type":"article-journal","volume":"102"},"uris":["http://www.mendeley.com/documents/?uuid=ba655ce0-7d6a-3047-b9b1-63a12e728834"]}],"mendeley":{"formattedCitation":"[10]","plainTextFormattedCitation":"[10]","previouslyFormattedCitation":"[10]"},"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[10]</w:t>
      </w:r>
      <w:r>
        <w:rPr>
          <w:rFonts w:cs="Times New Roman"/>
          <w:sz w:val="24"/>
          <w:szCs w:val="24"/>
          <w:lang w:val="en-US"/>
        </w:rPr>
        <w:fldChar w:fldCharType="end"/>
      </w:r>
      <w:r>
        <w:rPr>
          <w:rFonts w:cs="Times New Roman"/>
          <w:sz w:val="24"/>
          <w:szCs w:val="24"/>
          <w:lang w:val="en-US"/>
        </w:rPr>
        <w:t xml:space="preserve"> and </w:t>
      </w:r>
      <w:proofErr w:type="spellStart"/>
      <w:r>
        <w:rPr>
          <w:rFonts w:cs="Times New Roman"/>
          <w:sz w:val="24"/>
          <w:szCs w:val="24"/>
          <w:lang w:val="en-US"/>
        </w:rPr>
        <w:t>Lendahl</w:t>
      </w:r>
      <w:proofErr w:type="spellEnd"/>
      <w:r>
        <w:rPr>
          <w:rFonts w:cs="Times New Roman"/>
          <w:sz w:val="24"/>
          <w:szCs w:val="24"/>
          <w:lang w:val="en-US"/>
        </w:rPr>
        <w:t xml:space="preserve"> were used</w:t>
      </w:r>
      <w:r>
        <w:rPr>
          <w:rFonts w:cs="Times New Roman"/>
          <w:sz w:val="24"/>
          <w:szCs w:val="24"/>
          <w:lang w:val="en-US"/>
        </w:rPr>
        <w:fldChar w:fldCharType="begin" w:fldLock="1"/>
      </w:r>
      <w:r>
        <w:rPr>
          <w:rFonts w:cs="Times New Roman"/>
          <w:sz w:val="24"/>
          <w:szCs w:val="24"/>
          <w:lang w:val="en-US"/>
        </w:rPr>
        <w:instrText>ADDIN CSL_CITATION {"citationItems":[{"id":"ITEM-1","itemData":{"DOI":"10.1038/nrg2665","ISSN":"1471-0056","PMID":"19884889","abstract":"The sensing of oxygen levels and maintenance of oxygen homeostasis is crucial for cells. The hypoxic-sensitive regulation of gene expression allows information about the oxygen status to be converted into appropriate cellular responses. Although there is a core transcriptional pathway, the signalling cascade can be modified to allow diversity and specificity in the transcriptional output. In this Review, we discuss recent advances in our understanding of the mechanisms and factors that contribute to the observed diversity and specificity. A deeper knowledge about how hypoxic signalling is tuned will further our understanding of the cellular hypoxic response in normal physiology and how it becomes derailed in disease.","author":[{"dropping-particle":"","family":"Lendahl","given":"Urban","non-dropping-particle":"","parse-names":false,"suffix":""},{"dropping-particle":"","family":"Lee","given":"Kian Leong","non-dropping-particle":"","parse-names":false,"suffix":""},{"dropping-particle":"","family":"Yang","given":"Henry","non-dropping-particle":"","parse-names":false,"suffix":""},{"dropping-particle":"","family":"Poellinger","given":"Lorenz","non-dropping-particle":"","parse-names":false,"suffix":""}],"container-title":"Nature Reviews Genetics","id":"ITEM-1","issue":"12","issued":{"date-parts":[["2009","12","3"]]},"page":"821-832","title":"Generating specificity and diversity in the transcriptional response to hypoxia","type":"article-journal","volume":"10"},"uris":["http://www.mendeley.com/documents/?uuid=0a6f96c8-2eb5-347f-9412-a779fe2eaa56"]},{"id":"ITEM-2","itemData":{"DOI":"10.1016/j.radonc.2015.11.027","ISSN":"01678140","PMID":"26711490","abstract":"BACKGROUND AND PURPOSE Hypoxia renders tumors resistant to radiotherapy. However, the paucity of sensitive and reliable methods for detection of tumor hypoxia limits the translation of novel therapy strategies targeting this well-known resistance factor. We sought to investigate the ability of three previously discovered transcriptomics based hypoxia signatures to identify hypoxic tumors and consequently discriminate between patients with poor- vs. good prognosis. MATERIAL AND METHODS Three different hypoxia gene signatures developed by Toustrup et al., Eustace et al. and Lendahl et al. were evaluated in an independent cohort consisting of 302 patients with head and neck squamous cell carcinoma (HNSCC). Clinical data as well as genome-wide RNA-sequencing based gene expression data were retrieved from The Cancer Genome Atlas (TCGA). Clustering and statistical analysis were performed using Statistical Utilities for Microarray and Omics data (SUMO) software package. RESULTS The 15 gene hypoxia signature developed by Toustrup et al. as well as the 30 gene signature by Lendahl et al. successfully discriminated between HNSCC patients with poor vs. good prognosis. The 26 gene signature developed by Eustace et al. was prognostic in HNSCC patients treated with radiotherapy. The best prognostic value was achieved when a consensus cohort of patients was assigned, i.e., low- or high- degree of tumor hypoxia was found, by all three signatures. Interestingly, the number of signature genes could be successfully reduced to the only common gene across all three signatures, i.e., P4HA1, encoding prolyl-4-hydroxylase, alpha polypeptide I. CONCLUSIONS This is the first independent proof for the feasibility of hypoxia gene expression signatures as a prognostic tool in HNSCC patients.","author":[{"dropping-particle":"","family":"Tawk","given":"Bouchra","non-dropping-particle":"","parse-names":false,"suffix":""},{"dropping-particle":"","family":"Schwager","given":"Christian","non-dropping-particle":"","parse-names":false,"suffix":""},{"dropping-particle":"","family":"Deffaa","given":"Oliver","non-dropping-particle":"","parse-names":false,"suffix":""},{"dropping-particle":"","family":"Dyckhoff","given":"Gerhard","non-dropping-particle":"","parse-names":false,"suffix":""},{"dropping-particle":"","family":"Warta","given":"Rolf","non-dropping-particle":"","parse-names":false,"suffix":""},{"dropping-particle":"","family":"Linge","given":"Annett","non-dropping-particle":"","parse-names":false,"suffix":""},{"dropping-particle":"","family":"Krause","given":"Mechthild","non-dropping-particle":"","parse-names":false,"suffix":""},{"dropping-particle":"","family":"Weichert","given":"Wilko","non-dropping-particle":"","parse-names":false,"suffix":""},{"dropping-particle":"","family":"Baumann","given":"Michael","non-dropping-particle":"","parse-names":false,"suffix":""},{"dropping-particle":"","family":"Herold-Mende","given":"Christel","non-dropping-particle":"","parse-names":false,"suffix":""},{"dropping-particle":"","family":"Debus","given":"Jürgen","non-dropping-particle":"","parse-names":false,"suffix":""},{"dropping-particle":"","family":"Abdollahi","given":"Amir","non-dropping-particle":"","parse-names":false,"suffix":""}],"container-title":"Radiotherapy and Oncology","id":"ITEM-2","issue":"2","issued":{"date-parts":[["2016","2"]]},"page":"350-358","title":"Comparative analysis of transcriptomics based hypoxia signatures in head- and neck squamous cell carcinoma","type":"article-journal","volume":"118"},"uris":["http://www.mendeley.com/documents/?uuid=d1dd1d78-3668-36f8-98dc-17c100938c6e"]}],"mendeley":{"formattedCitation":"[11,12]","plainTextFormattedCitation":"[11,12]","previouslyFormattedCitation":"[11,12]"},"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[11,12]</w:t>
      </w:r>
      <w:r>
        <w:rPr>
          <w:rFonts w:cs="Times New Roman"/>
          <w:sz w:val="24"/>
          <w:szCs w:val="24"/>
          <w:lang w:val="en-US"/>
        </w:rPr>
        <w:fldChar w:fldCharType="end"/>
      </w:r>
      <w:r>
        <w:rPr>
          <w:rFonts w:cs="Times New Roman"/>
          <w:sz w:val="24"/>
          <w:szCs w:val="24"/>
          <w:lang w:val="en-US"/>
        </w:rPr>
        <w:t>. Logistic regression using (“</w:t>
      </w:r>
      <w:proofErr w:type="spellStart"/>
      <w:r>
        <w:rPr>
          <w:rFonts w:cs="Times New Roman"/>
          <w:sz w:val="24"/>
          <w:szCs w:val="24"/>
          <w:lang w:val="en-US"/>
        </w:rPr>
        <w:t>Toustrup</w:t>
      </w:r>
      <w:proofErr w:type="spellEnd"/>
      <w:r>
        <w:rPr>
          <w:rFonts w:cs="Times New Roman"/>
          <w:sz w:val="24"/>
          <w:szCs w:val="24"/>
          <w:lang w:val="en-US"/>
        </w:rPr>
        <w:t xml:space="preserve"> high/</w:t>
      </w:r>
      <w:proofErr w:type="spellStart"/>
      <w:r>
        <w:rPr>
          <w:rFonts w:cs="Times New Roman"/>
          <w:sz w:val="24"/>
          <w:szCs w:val="24"/>
          <w:lang w:val="en-US"/>
        </w:rPr>
        <w:t>Lendahl</w:t>
      </w:r>
      <w:proofErr w:type="spellEnd"/>
      <w:r>
        <w:rPr>
          <w:rFonts w:cs="Times New Roman"/>
          <w:sz w:val="24"/>
          <w:szCs w:val="24"/>
          <w:lang w:val="en-US"/>
        </w:rPr>
        <w:t xml:space="preserve"> high” versus “else”) identified 5129 DMPs at </w:t>
      </w:r>
      <w:proofErr w:type="spellStart"/>
      <w:r>
        <w:rPr>
          <w:rFonts w:cs="Times New Roman"/>
          <w:sz w:val="24"/>
          <w:szCs w:val="24"/>
          <w:lang w:val="en-US"/>
        </w:rPr>
        <w:t>pFDR</w:t>
      </w:r>
      <w:proofErr w:type="spellEnd"/>
      <w:r>
        <w:rPr>
          <w:rFonts w:cs="Times New Roman"/>
          <w:sz w:val="24"/>
          <w:szCs w:val="24"/>
          <w:lang w:val="en-US"/>
        </w:rPr>
        <w:t>&lt;0.05, using “</w:t>
      </w:r>
      <w:proofErr w:type="spellStart"/>
      <w:r>
        <w:rPr>
          <w:rFonts w:cs="Times New Roman"/>
          <w:sz w:val="24"/>
          <w:szCs w:val="24"/>
          <w:lang w:val="en-US"/>
        </w:rPr>
        <w:t>glm</w:t>
      </w:r>
      <w:proofErr w:type="spellEnd"/>
      <w:r>
        <w:rPr>
          <w:rFonts w:cs="Times New Roman"/>
          <w:sz w:val="24"/>
          <w:szCs w:val="24"/>
          <w:lang w:val="en-US"/>
        </w:rPr>
        <w:t>” package with family=”binomial” from the stats package in R</w:t>
      </w:r>
      <w:r>
        <w:rPr>
          <w:rFonts w:cs="Times New Roman"/>
          <w:sz w:val="24"/>
          <w:szCs w:val="24"/>
          <w:lang w:val="en-US"/>
        </w:rPr>
        <w:fldChar w:fldCharType="begin" w:fldLock="1"/>
      </w:r>
      <w:r>
        <w:rPr>
          <w:rFonts w:cs="Times New Roman"/>
          <w:sz w:val="24"/>
          <w:szCs w:val="24"/>
          <w:lang w:val="en-US"/>
        </w:rPr>
        <w:instrText xml:space="preserve">ADDIN CSL_CITATION {"citationItems":[{"id":"ITEM-1","itemData":{"DOI":"10.1093/bioinformatics/btu049","ISSN":"1460-2059","PMID":"24478339","abstract":"MOTIVATION The recently released Infinium HumanMethylation450 array (the '450k' array) provides a high-throughput assay to quantify DNA methylation (DNAm) at </w:instrText>
      </w:r>
      <w:r>
        <w:rPr>
          <w:rFonts w:ascii="Cambria Math" w:hAnsi="Cambria Math" w:cs="Cambria Math"/>
          <w:sz w:val="24"/>
          <w:szCs w:val="24"/>
          <w:lang w:val="en-US"/>
        </w:rPr>
        <w:instrText>∼</w:instrText>
      </w:r>
      <w:r>
        <w:rPr>
          <w:rFonts w:cs="Times New Roman"/>
          <w:sz w:val="24"/>
          <w:szCs w:val="24"/>
          <w:lang w:val="en-US"/>
        </w:rPr>
        <w:instrText>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A.","non-dropping-particle":"","parse-names":false,"suffix":""}],"container-title":"Bioinformatics","id":"ITEM-1","issue":"10","issued":{"date-parts":[["2014","5","15"]]},"page":"1363-1369","title":"Minfi: a flexible and comprehensive Bioconductor package for the analysis of Infinium DNA methylation microarrays","type":"article-journal","volume":"30"},"uris":["http://www.mendeley.com/documents/?uuid=fb6ccfb8-196e-315d-bf94-57789be78b43"]},{"id":"ITEM-2","itemData":{"DOI":"10.1186/s13059-014-0503-2","ISSN":"1474-760X","PMID":"25599564","abstract":"We propose an extension to quantile normalization that removes unwanted technical variation using control probes. We adapt our algorithm, functional normalization, to the Illumina 450k methylation array and address the open problem of normalizing methylation data with global epigenetic changes, such as human cancers. Using data sets from The Cancer Genome Atlas and a large case-control study, we show that our algorithm outperforms all existing normalization methods with respect to replication of results between experiments, and yields robust results even in the presence of batch effects. Functional normalization can be applied to any microarray platform, provided suitable control probes are available.","author":[{"dropping-particle":"","family":"Fortin","given":"Jean-Philippe","non-dropping-particle":"","parse-names":false,"suffix":""},{"dropping-particle":"","family":"Labbe","given":"Aurélie","non-dropping-particle":"","parse-names":false,"suffix":""},{"dropping-particle":"","family":"Lemire","given":"Mathieu","non-dropping-particle":"","parse-names":false,"suffix":""},{"dropping-particle":"","family":"Zanke","given":"Brent W","non-dropping-particle":"","parse-names":false,"suffix":""},{"dropping-particle":"","family":"Hudson","given":"Thomas J","non-dropping-particle":"","parse-names":false,"suffix":""},{"dropping-particle":"","family":"Fertig","given":"Elana J","non-dropping-particle":"","parse-names":false,"suffix":""},{"dropping-particle":"","family":"Greenwood","given":"Celia Mt","non-dropping-particle":"","parse-names":false,"suffix":""},{"dropping-particle":"","family":"Hansen","given":"Kasper D","non-dropping-particle":"","parse-names":false,"suffix":""}],"container-title":"Genome biology","id":"ITEM-2","issue":"12","issued":{"date-parts":[["2014","12","3"]]},"page":"503","publisher":"BioMed Central","title":"Functional normalization of 450k methylation array data improves replication in large cancer studies.","type":"article-journal","volume":"15"},"uris":["http://www.mendeley.com/documents/?uuid=7e41c479-aa99-3e77-87cc-a9991b71f77a"]},{"id":"ITEM-3","itemData":{"author":[{"dropping-particle":"","family":"Team","given":"R core","non-dropping-particle":"","parse-names":false,"suffix":""}],"id":"ITEM-3","issued":{"date-parts":[["2018"]]},"publisher":"R Foundation for Statistical Computing","publisher-place":"Vienna, Austria","title":"R: A Language and Environment for Statistical Computing","type":"article"},"uris":["http://www.mendeley.com/documents/?uuid=3c164adc-0b2f-486c-932b-9c37a7fa8204"]}],"mendeley":{"formattedCitation":"[4–6]","manualFormatting":"(6)","plainTextFormattedCitation":"[4–6]","previouslyFormattedCitation":"[4–6]"},"properties":{"noteIndex":0},"schema":"https://github.com/citation-style-language/schema/raw/master/csl-citation.json"}</w:instrText>
      </w:r>
      <w:r>
        <w:rPr>
          <w:rFonts w:cs="Times New Roman"/>
          <w:sz w:val="24"/>
          <w:szCs w:val="24"/>
          <w:lang w:val="en-US"/>
        </w:rPr>
        <w:fldChar w:fldCharType="separate"/>
      </w:r>
      <w:r>
        <w:rPr>
          <w:rFonts w:cs="Times New Roman"/>
          <w:noProof/>
          <w:sz w:val="24"/>
          <w:szCs w:val="24"/>
          <w:lang w:val="en-US"/>
        </w:rPr>
        <w:t>(</w:t>
      </w:r>
      <w:r w:rsidRPr="001A1410">
        <w:rPr>
          <w:rFonts w:cs="Times New Roman"/>
          <w:noProof/>
          <w:sz w:val="24"/>
          <w:szCs w:val="24"/>
          <w:lang w:val="en-US"/>
        </w:rPr>
        <w:t>6)</w:t>
      </w:r>
      <w:r>
        <w:rPr>
          <w:rFonts w:cs="Times New Roman"/>
          <w:sz w:val="24"/>
          <w:szCs w:val="24"/>
          <w:lang w:val="en-US"/>
        </w:rPr>
        <w:fldChar w:fldCharType="end"/>
      </w:r>
      <w:r>
        <w:rPr>
          <w:rFonts w:cs="Times New Roman"/>
          <w:sz w:val="24"/>
          <w:szCs w:val="24"/>
          <w:lang w:val="en-US"/>
        </w:rPr>
        <w:t xml:space="preserve">. </w:t>
      </w:r>
    </w:p>
    <w:p w:rsidR="005250AC" w:rsidRDefault="005250AC" w:rsidP="005250AC">
      <w:pPr>
        <w:jc w:val="both"/>
        <w:rPr>
          <w:rFonts w:cs="Times New Roman"/>
          <w:sz w:val="24"/>
          <w:szCs w:val="24"/>
          <w:lang w:val="en-US"/>
        </w:rPr>
      </w:pPr>
      <w:r w:rsidRPr="004C76E3">
        <w:rPr>
          <w:rFonts w:cs="Times New Roman"/>
          <w:sz w:val="24"/>
          <w:szCs w:val="24"/>
          <w:u w:val="single"/>
          <w:lang w:val="en-US"/>
        </w:rPr>
        <w:t>Approach 2</w:t>
      </w:r>
      <w:r>
        <w:rPr>
          <w:rFonts w:cs="Times New Roman"/>
          <w:sz w:val="24"/>
          <w:szCs w:val="24"/>
          <w:lang w:val="en-US"/>
        </w:rPr>
        <w:t xml:space="preserve">: Beta </w:t>
      </w:r>
      <w:r w:rsidRPr="00FE6529">
        <w:rPr>
          <w:rFonts w:cs="Times New Roman"/>
          <w:sz w:val="24"/>
          <w:szCs w:val="24"/>
          <w:lang w:val="en-US"/>
        </w:rPr>
        <w:t xml:space="preserve">methylation values were used (distribution of values from </w:t>
      </w:r>
      <w:proofErr w:type="gramStart"/>
      <w:r w:rsidRPr="00FE6529">
        <w:rPr>
          <w:rFonts w:cs="Times New Roman"/>
          <w:sz w:val="24"/>
          <w:szCs w:val="24"/>
          <w:lang w:val="en-US"/>
        </w:rPr>
        <w:t>0</w:t>
      </w:r>
      <w:proofErr w:type="gramEnd"/>
      <w:r w:rsidRPr="00FE6529">
        <w:rPr>
          <w:rFonts w:cs="Times New Roman"/>
          <w:sz w:val="24"/>
          <w:szCs w:val="24"/>
          <w:lang w:val="en-US"/>
        </w:rPr>
        <w:t xml:space="preserve"> to 1). Probes with a mean value less than 0.05 or more than 0.95 </w:t>
      </w:r>
      <w:proofErr w:type="gramStart"/>
      <w:r w:rsidRPr="00FE6529">
        <w:rPr>
          <w:rFonts w:cs="Times New Roman"/>
          <w:sz w:val="24"/>
          <w:szCs w:val="24"/>
          <w:lang w:val="en-US"/>
        </w:rPr>
        <w:t>were filtered</w:t>
      </w:r>
      <w:proofErr w:type="gramEnd"/>
      <w:r w:rsidRPr="00FE6529">
        <w:rPr>
          <w:rFonts w:cs="Times New Roman"/>
          <w:sz w:val="24"/>
          <w:szCs w:val="24"/>
          <w:lang w:val="en-US"/>
        </w:rPr>
        <w:t>. The standard deviation (SD) for each probe was then calculated.</w:t>
      </w:r>
      <w:r>
        <w:rPr>
          <w:rFonts w:cs="Times New Roman"/>
          <w:sz w:val="24"/>
          <w:szCs w:val="24"/>
          <w:lang w:val="en-US"/>
        </w:rPr>
        <w:t xml:space="preserve"> Probes with a SD </w:t>
      </w:r>
      <w:r>
        <w:rPr>
          <w:rFonts w:cstheme="minorHAnsi"/>
          <w:sz w:val="24"/>
          <w:szCs w:val="24"/>
          <w:lang w:val="en-US"/>
        </w:rPr>
        <w:t>≥</w:t>
      </w:r>
      <w:r>
        <w:rPr>
          <w:rFonts w:cs="Times New Roman"/>
          <w:sz w:val="24"/>
          <w:szCs w:val="24"/>
          <w:lang w:val="en-US"/>
        </w:rPr>
        <w:t>85</w:t>
      </w:r>
      <w:r w:rsidRPr="00FE6529">
        <w:rPr>
          <w:rFonts w:cs="Times New Roman"/>
          <w:sz w:val="24"/>
          <w:szCs w:val="24"/>
          <w:vertAlign w:val="superscript"/>
          <w:lang w:val="en-US"/>
        </w:rPr>
        <w:t>th</w:t>
      </w:r>
      <w:r>
        <w:rPr>
          <w:rFonts w:cs="Times New Roman"/>
          <w:sz w:val="24"/>
          <w:szCs w:val="24"/>
          <w:lang w:val="en-US"/>
        </w:rPr>
        <w:t xml:space="preserve"> percentile of all SDs were kept, n=51673 probes. </w:t>
      </w:r>
      <w:r w:rsidRPr="00FE6529">
        <w:rPr>
          <w:rFonts w:cs="Times New Roman"/>
          <w:sz w:val="24"/>
          <w:szCs w:val="24"/>
          <w:lang w:val="en-US"/>
        </w:rPr>
        <w:t>Logistic regression using (“</w:t>
      </w:r>
      <w:proofErr w:type="spellStart"/>
      <w:r w:rsidRPr="00FE6529">
        <w:rPr>
          <w:rFonts w:cs="Times New Roman"/>
          <w:sz w:val="24"/>
          <w:szCs w:val="24"/>
          <w:lang w:val="en-US"/>
        </w:rPr>
        <w:t>Toustrup</w:t>
      </w:r>
      <w:proofErr w:type="spellEnd"/>
      <w:r w:rsidRPr="00FE6529">
        <w:rPr>
          <w:rFonts w:cs="Times New Roman"/>
          <w:sz w:val="24"/>
          <w:szCs w:val="24"/>
          <w:lang w:val="en-US"/>
        </w:rPr>
        <w:t xml:space="preserve"> high/</w:t>
      </w:r>
      <w:proofErr w:type="spellStart"/>
      <w:r w:rsidRPr="00FE6529">
        <w:rPr>
          <w:rFonts w:cs="Times New Roman"/>
          <w:sz w:val="24"/>
          <w:szCs w:val="24"/>
          <w:lang w:val="en-US"/>
        </w:rPr>
        <w:t>Lendahl</w:t>
      </w:r>
      <w:proofErr w:type="spellEnd"/>
      <w:r w:rsidRPr="00FE6529">
        <w:rPr>
          <w:rFonts w:cs="Times New Roman"/>
          <w:sz w:val="24"/>
          <w:szCs w:val="24"/>
          <w:lang w:val="en-US"/>
        </w:rPr>
        <w:t xml:space="preserve"> high” versus “else”) identified </w:t>
      </w:r>
      <w:r>
        <w:rPr>
          <w:rFonts w:cs="Times New Roman"/>
          <w:sz w:val="24"/>
          <w:szCs w:val="24"/>
          <w:lang w:val="en-US"/>
        </w:rPr>
        <w:t>3397</w:t>
      </w:r>
      <w:r w:rsidRPr="00FE6529">
        <w:rPr>
          <w:rFonts w:cs="Times New Roman"/>
          <w:sz w:val="24"/>
          <w:szCs w:val="24"/>
          <w:lang w:val="en-US"/>
        </w:rPr>
        <w:t xml:space="preserve"> DMPs at </w:t>
      </w:r>
      <w:proofErr w:type="spellStart"/>
      <w:r w:rsidRPr="00FE6529">
        <w:rPr>
          <w:rFonts w:cs="Times New Roman"/>
          <w:sz w:val="24"/>
          <w:szCs w:val="24"/>
          <w:lang w:val="en-US"/>
        </w:rPr>
        <w:t>pFDR</w:t>
      </w:r>
      <w:proofErr w:type="spellEnd"/>
      <w:r w:rsidRPr="00FE6529">
        <w:rPr>
          <w:rFonts w:cs="Times New Roman"/>
          <w:sz w:val="24"/>
          <w:szCs w:val="24"/>
          <w:lang w:val="en-US"/>
        </w:rPr>
        <w:t>&lt;0.05</w:t>
      </w:r>
      <w:r>
        <w:rPr>
          <w:rFonts w:cs="Times New Roman"/>
          <w:sz w:val="24"/>
          <w:szCs w:val="24"/>
          <w:lang w:val="en-US"/>
        </w:rPr>
        <w:t>, using “</w:t>
      </w:r>
      <w:proofErr w:type="spellStart"/>
      <w:r>
        <w:rPr>
          <w:rFonts w:cs="Times New Roman"/>
          <w:sz w:val="24"/>
          <w:szCs w:val="24"/>
          <w:lang w:val="en-US"/>
        </w:rPr>
        <w:t>glm</w:t>
      </w:r>
      <w:proofErr w:type="spellEnd"/>
      <w:r>
        <w:rPr>
          <w:rFonts w:cs="Times New Roman"/>
          <w:sz w:val="24"/>
          <w:szCs w:val="24"/>
          <w:lang w:val="en-US"/>
        </w:rPr>
        <w:t>” package with family=”binomial” from the stats package in R</w:t>
      </w:r>
      <w:r>
        <w:rPr>
          <w:rFonts w:cs="Times New Roman"/>
          <w:sz w:val="24"/>
          <w:szCs w:val="24"/>
          <w:lang w:val="en-US"/>
        </w:rPr>
        <w:fldChar w:fldCharType="begin" w:fldLock="1"/>
      </w:r>
      <w:r>
        <w:rPr>
          <w:rFonts w:cs="Times New Roman"/>
          <w:sz w:val="24"/>
          <w:szCs w:val="24"/>
          <w:lang w:val="en-US"/>
        </w:rPr>
        <w:instrText xml:space="preserve">ADDIN CSL_CITATION {"citationItems":[{"id":"ITEM-1","itemData":{"DOI":"10.1093/bioinformatics/btu049","ISSN":"1460-2059","PMID":"24478339","abstract":"MOTIVATION The recently released Infinium HumanMethylation450 array (the '450k' array) provides a high-throughput assay to quantify DNA methylation (DNAm) at </w:instrText>
      </w:r>
      <w:r>
        <w:rPr>
          <w:rFonts w:ascii="Cambria Math" w:hAnsi="Cambria Math" w:cs="Cambria Math"/>
          <w:sz w:val="24"/>
          <w:szCs w:val="24"/>
          <w:lang w:val="en-US"/>
        </w:rPr>
        <w:instrText>∼</w:instrText>
      </w:r>
      <w:r>
        <w:rPr>
          <w:rFonts w:cs="Times New Roman"/>
          <w:sz w:val="24"/>
          <w:szCs w:val="24"/>
          <w:lang w:val="en-US"/>
        </w:rPr>
        <w:instrText>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A.","non-dropping-particle":"","parse-names":false,"suffix":""}],"container-title":"Bioinformatics","id":"ITEM-1","issue":"10","issued":{"date-parts":[["2014","5","15"]]},"page":"1363-1369","title":"Minfi: a flexible and comprehensive Bioconductor package for the analysis of Infinium DNA methylation microarrays","type":"article-journal","volume":"30"},"uris":["http://www.mendeley.com/documents/?uuid=fb6ccfb8-196e-315d-bf94-57789be78b43"]},{"id":"ITEM-2","itemData":{"DOI":"10.1186/s13059-014-0503-2","ISSN":"1474-760X","PMID":"25599564","abstract":"We propose an extension to quantile normalization that removes unwanted technical variation using control probes. We adapt our algorithm, functional normalization, to the Illumina 450k methylation array and address the open problem of normalizing methylation data with global epigenetic changes, such as human cancers. Using data sets from The Cancer Genome Atlas and a large case-control study, we show that our algorithm outperforms all existing normalization methods with respect to replication of results between experiments, and yields robust results even in the presence of batch effects. Functional normalization can be applied to any microarray platform, provided suitable control probes are available.","author":[{"dropping-particle":"","family":"Fortin","given":"Jean-Philippe","non-dropping-particle":"","parse-names":false,"suffix":""},{"dropping-particle":"","family":"Labbe","given":"Aurélie","non-dropping-particle":"","parse-names":false,"suffix":""},{"dropping-particle":"","family":"Lemire","given":"Mathieu","non-dropping-particle":"","parse-names":false,"suffix":""},{"dropping-particle":"","family":"Zanke","given":"Brent W","non-dropping-particle":"","parse-names":false,"suffix":""},{"dropping-particle":"","family":"Hudson","given":"Thomas J","non-dropping-particle":"","parse-names":false,"suffix":""},{"dropping-particle":"","family":"Fertig","given":"Elana J","non-dropping-particle":"","parse-names":false,"suffix":""},{"dropping-particle":"","family":"Greenwood","given":"Celia Mt","non-dropping-particle":"","parse-names":false,"suffix":""},{"dropping-particle":"","family":"Hansen","given":"Kasper D","non-dropping-particle":"","parse-names":false,"suffix":""}],"container-title":"Genome biology","id":"ITEM-2","issue":"12","issued":{"date-parts":[["2014","12","3"]]},"page":"503","publisher":"BioMed Central","title":"Functional normalization of 450k methylation array data improves replication in large cancer studies.","type":"article-journal","volume":"15"},"uris":["http://www.mendeley.com/documents/?uuid=7e41c479-aa99-3e77-87cc-a9991b71f77a"]},{"id":"ITEM-3","itemData":{"author":[{"dropping-particle":"","family":"Team","given":"R core","non-dropping-particle":"","parse-names":false,"suffix":""}],"id":"ITEM-3","issued":{"date-parts":[["2018"]]},"publisher":"R Foundation for Statistical Computing","publisher-place":"Vienna, Austria","title":"R: A Language and Environment for Statistical Computing","type":"article"},"uris":["http://www.mendeley.com/documents/?uuid=3c164adc-0b2f-486c-932b-9c37a7fa8204"]}],"mendeley":{"formattedCitation":"[4–6]","manualFormatting":"(6)","plainTextFormattedCitation":"[4–6]","previouslyFormattedCitation":"[4–6]"},"properties":{"noteIndex":0},"schema":"https://github.com/citation-style-language/schema/raw/master/csl-citation.json"}</w:instrText>
      </w:r>
      <w:r>
        <w:rPr>
          <w:rFonts w:cs="Times New Roman"/>
          <w:sz w:val="24"/>
          <w:szCs w:val="24"/>
          <w:lang w:val="en-US"/>
        </w:rPr>
        <w:fldChar w:fldCharType="separate"/>
      </w:r>
      <w:r>
        <w:rPr>
          <w:rFonts w:cs="Times New Roman"/>
          <w:noProof/>
          <w:sz w:val="24"/>
          <w:szCs w:val="24"/>
          <w:lang w:val="en-US"/>
        </w:rPr>
        <w:t>(</w:t>
      </w:r>
      <w:r w:rsidRPr="001A1410">
        <w:rPr>
          <w:rFonts w:cs="Times New Roman"/>
          <w:noProof/>
          <w:sz w:val="24"/>
          <w:szCs w:val="24"/>
          <w:lang w:val="en-US"/>
        </w:rPr>
        <w:t>6)</w:t>
      </w:r>
      <w:r>
        <w:rPr>
          <w:rFonts w:cs="Times New Roman"/>
          <w:sz w:val="24"/>
          <w:szCs w:val="24"/>
          <w:lang w:val="en-US"/>
        </w:rPr>
        <w:fldChar w:fldCharType="end"/>
      </w:r>
      <w:r>
        <w:rPr>
          <w:rFonts w:cs="Times New Roman"/>
          <w:sz w:val="24"/>
          <w:szCs w:val="24"/>
          <w:lang w:val="en-US"/>
        </w:rPr>
        <w:t xml:space="preserve">. </w:t>
      </w:r>
    </w:p>
    <w:p w:rsidR="005250AC" w:rsidRDefault="005250AC" w:rsidP="005250AC">
      <w:pPr>
        <w:keepNext/>
        <w:jc w:val="center"/>
      </w:pPr>
      <w:r>
        <w:rPr>
          <w:rFonts w:cs="Times New Roman"/>
          <w:noProof/>
          <w:sz w:val="24"/>
          <w:szCs w:val="24"/>
          <w:lang w:val="en-US"/>
        </w:rPr>
        <w:lastRenderedPageBreak/>
        <w:drawing>
          <wp:inline distT="0" distB="0" distL="0" distR="0" wp14:anchorId="37DCB7D0" wp14:editId="29847D8E">
            <wp:extent cx="4980107" cy="6000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82128" cy="6003185"/>
                    </a:xfrm>
                    <a:prstGeom prst="rect">
                      <a:avLst/>
                    </a:prstGeom>
                    <a:noFill/>
                  </pic:spPr>
                </pic:pic>
              </a:graphicData>
            </a:graphic>
          </wp:inline>
        </w:drawing>
      </w:r>
    </w:p>
    <w:p w:rsidR="005250AC" w:rsidRPr="00090428" w:rsidRDefault="005250AC" w:rsidP="005250AC">
      <w:pPr>
        <w:jc w:val="center"/>
        <w:rPr>
          <w:rFonts w:cs="Times New Roman"/>
          <w:sz w:val="24"/>
          <w:szCs w:val="24"/>
          <w:lang w:val="en-US"/>
        </w:rPr>
      </w:pPr>
      <w:r>
        <w:rPr>
          <w:rFonts w:cs="Times New Roman"/>
          <w:sz w:val="24"/>
          <w:szCs w:val="24"/>
          <w:lang w:val="en-US"/>
        </w:rPr>
        <w:t>Supplementary</w:t>
      </w:r>
      <w:r w:rsidRPr="00090428">
        <w:rPr>
          <w:rFonts w:cs="Times New Roman"/>
          <w:sz w:val="24"/>
          <w:szCs w:val="24"/>
          <w:lang w:val="en-US"/>
        </w:rPr>
        <w:t xml:space="preserve"> Figure 3. Schematic of how Hypoxia-M signatures </w:t>
      </w:r>
      <w:proofErr w:type="gramStart"/>
      <w:r w:rsidRPr="00090428">
        <w:rPr>
          <w:rFonts w:cs="Times New Roman"/>
          <w:sz w:val="24"/>
          <w:szCs w:val="24"/>
          <w:lang w:val="en-US"/>
        </w:rPr>
        <w:t>were derived</w:t>
      </w:r>
      <w:proofErr w:type="gramEnd"/>
    </w:p>
    <w:p w:rsidR="005250AC" w:rsidRDefault="005250AC" w:rsidP="005250AC">
      <w:pPr>
        <w:jc w:val="both"/>
        <w:rPr>
          <w:rFonts w:cs="Times New Roman"/>
          <w:sz w:val="24"/>
          <w:szCs w:val="24"/>
          <w:lang w:val="en-US"/>
        </w:rPr>
      </w:pPr>
    </w:p>
    <w:p w:rsidR="005250AC" w:rsidRPr="00096B55" w:rsidRDefault="005250AC" w:rsidP="005250AC">
      <w:pPr>
        <w:pStyle w:val="ListParagraph"/>
        <w:numPr>
          <w:ilvl w:val="0"/>
          <w:numId w:val="1"/>
        </w:numPr>
        <w:jc w:val="both"/>
        <w:rPr>
          <w:rFonts w:cs="Times New Roman"/>
          <w:b/>
          <w:sz w:val="24"/>
          <w:szCs w:val="24"/>
          <w:u w:val="single"/>
          <w:lang w:val="en-US"/>
        </w:rPr>
      </w:pPr>
      <w:r w:rsidRPr="00096B55">
        <w:rPr>
          <w:rFonts w:cs="Times New Roman"/>
          <w:b/>
          <w:sz w:val="24"/>
          <w:szCs w:val="24"/>
          <w:u w:val="single"/>
          <w:lang w:val="en-US"/>
        </w:rPr>
        <w:t>Random Forest classification:</w:t>
      </w:r>
    </w:p>
    <w:p w:rsidR="005250AC" w:rsidRPr="00965D71" w:rsidRDefault="005250AC" w:rsidP="005250AC">
      <w:pPr>
        <w:jc w:val="both"/>
        <w:rPr>
          <w:rFonts w:cs="Times New Roman"/>
          <w:sz w:val="24"/>
          <w:szCs w:val="24"/>
          <w:lang w:val="en-US"/>
        </w:rPr>
      </w:pPr>
      <w:r>
        <w:rPr>
          <w:rFonts w:cs="Times New Roman"/>
          <w:sz w:val="24"/>
          <w:szCs w:val="24"/>
          <w:lang w:val="en-US"/>
        </w:rPr>
        <w:t>Combining both lists of DMPs identified 5957 unique DMPs that were significant on logistic regression (</w:t>
      </w:r>
      <w:proofErr w:type="spellStart"/>
      <w:r>
        <w:rPr>
          <w:rFonts w:cs="Times New Roman"/>
          <w:sz w:val="24"/>
          <w:szCs w:val="24"/>
          <w:lang w:val="en-US"/>
        </w:rPr>
        <w:t>pFDR</w:t>
      </w:r>
      <w:proofErr w:type="spellEnd"/>
      <w:r>
        <w:rPr>
          <w:rFonts w:cs="Times New Roman"/>
          <w:sz w:val="24"/>
          <w:szCs w:val="24"/>
          <w:lang w:val="en-US"/>
        </w:rPr>
        <w:t xml:space="preserve">&lt;0.05). These </w:t>
      </w:r>
      <w:r>
        <w:rPr>
          <w:lang w:val="en-US"/>
        </w:rPr>
        <w:t xml:space="preserve">5975 </w:t>
      </w:r>
      <w:r w:rsidRPr="00090428">
        <w:rPr>
          <w:rFonts w:cs="Times New Roman"/>
          <w:sz w:val="24"/>
          <w:szCs w:val="24"/>
          <w:lang w:val="en-US"/>
        </w:rPr>
        <w:t xml:space="preserve">DMPs were then included in an RF classification in the </w:t>
      </w:r>
      <w:r>
        <w:rPr>
          <w:rFonts w:cs="Times New Roman"/>
          <w:sz w:val="24"/>
          <w:szCs w:val="24"/>
          <w:lang w:val="en-US"/>
        </w:rPr>
        <w:t>TCGA HNSCC cohort (n=242) using “</w:t>
      </w:r>
      <w:proofErr w:type="spellStart"/>
      <w:r>
        <w:rPr>
          <w:rFonts w:cs="Times New Roman"/>
          <w:sz w:val="24"/>
          <w:szCs w:val="24"/>
          <w:lang w:val="en-US"/>
        </w:rPr>
        <w:t>randomForest</w:t>
      </w:r>
      <w:proofErr w:type="spellEnd"/>
      <w:r>
        <w:rPr>
          <w:rFonts w:cs="Times New Roman"/>
          <w:sz w:val="24"/>
          <w:szCs w:val="24"/>
          <w:lang w:val="en-US"/>
        </w:rPr>
        <w:t>”</w:t>
      </w:r>
      <w:r>
        <w:rPr>
          <w:rFonts w:cs="Times New Roman"/>
          <w:sz w:val="24"/>
          <w:szCs w:val="24"/>
          <w:lang w:val="en-US"/>
        </w:rPr>
        <w:fldChar w:fldCharType="begin" w:fldLock="1"/>
      </w:r>
      <w:r>
        <w:rPr>
          <w:rFonts w:cs="Times New Roman"/>
          <w:sz w:val="24"/>
          <w:szCs w:val="24"/>
          <w:lang w:val="en-US"/>
        </w:rPr>
        <w:instrText>ADDIN CSL_CITATION {"citationItems":[{"id":"ITEM-1","itemData":{"author":[{"dropping-particle":"","family":"Liaw","given":"Andy","non-dropping-particle":"","parse-names":false,"suffix":""},{"dropping-particle":"","family":"Wiener","given":"Matthew","non-dropping-particle":"","parse-names":false,"suffix":""}],"container-title":"R News","id":"ITEM-1","issue":"3","issued":{"date-parts":[["2002"]]},"page":"18-22","title":"Classification and Regression by randomForest","type":"article-journal","volume":"2"},"uris":["http://www.mendeley.com/documents/?uuid=c9ae35ec-4e54-47f2-82c3-5aa386eeaaa4"]}],"mendeley":{"formattedCitation":"[13]","plainTextFormattedCitation":"[13]","previouslyFormattedCitation":"[13]"},"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[13]</w:t>
      </w:r>
      <w:r>
        <w:rPr>
          <w:rFonts w:cs="Times New Roman"/>
          <w:sz w:val="24"/>
          <w:szCs w:val="24"/>
          <w:lang w:val="en-US"/>
        </w:rPr>
        <w:fldChar w:fldCharType="end"/>
      </w:r>
      <w:r>
        <w:rPr>
          <w:rFonts w:cs="Times New Roman"/>
          <w:sz w:val="24"/>
          <w:szCs w:val="24"/>
          <w:lang w:val="en-US"/>
        </w:rPr>
        <w:t>. T</w:t>
      </w:r>
      <w:r w:rsidRPr="00090428">
        <w:rPr>
          <w:rFonts w:cs="Times New Roman"/>
          <w:sz w:val="24"/>
          <w:szCs w:val="24"/>
          <w:lang w:val="en-US"/>
        </w:rPr>
        <w:t xml:space="preserve">he forest was trained using GES assignment based on the </w:t>
      </w:r>
      <w:proofErr w:type="spellStart"/>
      <w:r w:rsidRPr="00090428">
        <w:rPr>
          <w:rFonts w:cs="Times New Roman"/>
          <w:sz w:val="24"/>
          <w:szCs w:val="24"/>
          <w:lang w:val="en-US"/>
        </w:rPr>
        <w:t>Toustrup</w:t>
      </w:r>
      <w:proofErr w:type="spellEnd"/>
      <w:r w:rsidRPr="00090428">
        <w:rPr>
          <w:rFonts w:cs="Times New Roman"/>
          <w:sz w:val="24"/>
          <w:szCs w:val="24"/>
          <w:lang w:val="en-US"/>
        </w:rPr>
        <w:t>/</w:t>
      </w:r>
      <w:proofErr w:type="spellStart"/>
      <w:r w:rsidRPr="00090428">
        <w:rPr>
          <w:rFonts w:cs="Times New Roman"/>
          <w:sz w:val="24"/>
          <w:szCs w:val="24"/>
          <w:lang w:val="en-US"/>
        </w:rPr>
        <w:t>Lendahl</w:t>
      </w:r>
      <w:proofErr w:type="spellEnd"/>
      <w:r w:rsidRPr="00090428">
        <w:rPr>
          <w:rFonts w:cs="Times New Roman"/>
          <w:sz w:val="24"/>
          <w:szCs w:val="24"/>
          <w:lang w:val="en-US"/>
        </w:rPr>
        <w:t xml:space="preserve"> combination of signatures for 500 trees (</w:t>
      </w:r>
      <w:proofErr w:type="spellStart"/>
      <w:r w:rsidRPr="00090428">
        <w:rPr>
          <w:rFonts w:cs="Times New Roman"/>
          <w:sz w:val="24"/>
          <w:szCs w:val="24"/>
          <w:lang w:val="en-US"/>
        </w:rPr>
        <w:t>quarternary</w:t>
      </w:r>
      <w:proofErr w:type="spellEnd"/>
      <w:r w:rsidRPr="00090428">
        <w:rPr>
          <w:rFonts w:cs="Times New Roman"/>
          <w:sz w:val="24"/>
          <w:szCs w:val="24"/>
          <w:lang w:val="en-US"/>
        </w:rPr>
        <w:t xml:space="preserve"> classification: “consensus high”, “consensus low”, “</w:t>
      </w:r>
      <w:proofErr w:type="spellStart"/>
      <w:r w:rsidRPr="00090428">
        <w:rPr>
          <w:rFonts w:cs="Times New Roman"/>
          <w:sz w:val="24"/>
          <w:szCs w:val="24"/>
          <w:lang w:val="en-US"/>
        </w:rPr>
        <w:t>Toustrup</w:t>
      </w:r>
      <w:proofErr w:type="spellEnd"/>
      <w:r w:rsidRPr="00090428">
        <w:rPr>
          <w:rFonts w:cs="Times New Roman"/>
          <w:sz w:val="24"/>
          <w:szCs w:val="24"/>
          <w:lang w:val="en-US"/>
        </w:rPr>
        <w:t xml:space="preserve"> high</w:t>
      </w:r>
      <w:r>
        <w:rPr>
          <w:rFonts w:cs="Times New Roman"/>
          <w:sz w:val="24"/>
          <w:szCs w:val="24"/>
          <w:lang w:val="en-US"/>
        </w:rPr>
        <w:t>/</w:t>
      </w:r>
      <w:proofErr w:type="spellStart"/>
      <w:r>
        <w:rPr>
          <w:rFonts w:cs="Times New Roman"/>
          <w:sz w:val="24"/>
          <w:szCs w:val="24"/>
          <w:lang w:val="en-US"/>
        </w:rPr>
        <w:t>Lendahl</w:t>
      </w:r>
      <w:proofErr w:type="spellEnd"/>
      <w:r>
        <w:rPr>
          <w:rFonts w:cs="Times New Roman"/>
          <w:sz w:val="24"/>
          <w:szCs w:val="24"/>
          <w:lang w:val="en-US"/>
        </w:rPr>
        <w:t xml:space="preserve"> low</w:t>
      </w:r>
      <w:r w:rsidRPr="00090428">
        <w:rPr>
          <w:rFonts w:cs="Times New Roman"/>
          <w:sz w:val="24"/>
          <w:szCs w:val="24"/>
          <w:lang w:val="en-US"/>
        </w:rPr>
        <w:t>”, “</w:t>
      </w:r>
      <w:proofErr w:type="spellStart"/>
      <w:proofErr w:type="gramStart"/>
      <w:r w:rsidRPr="00090428">
        <w:rPr>
          <w:rFonts w:cs="Times New Roman"/>
          <w:sz w:val="24"/>
          <w:szCs w:val="24"/>
          <w:lang w:val="en-US"/>
        </w:rPr>
        <w:t>toustrup</w:t>
      </w:r>
      <w:proofErr w:type="spellEnd"/>
      <w:proofErr w:type="gramEnd"/>
      <w:r w:rsidRPr="00090428">
        <w:rPr>
          <w:rFonts w:cs="Times New Roman"/>
          <w:sz w:val="24"/>
          <w:szCs w:val="24"/>
          <w:lang w:val="en-US"/>
        </w:rPr>
        <w:t xml:space="preserve"> </w:t>
      </w:r>
      <w:r w:rsidRPr="00090428">
        <w:rPr>
          <w:rFonts w:cs="Times New Roman"/>
          <w:sz w:val="24"/>
          <w:szCs w:val="24"/>
          <w:lang w:val="en-US"/>
        </w:rPr>
        <w:lastRenderedPageBreak/>
        <w:t>low</w:t>
      </w:r>
      <w:r>
        <w:rPr>
          <w:rFonts w:cs="Times New Roman"/>
          <w:sz w:val="24"/>
          <w:szCs w:val="24"/>
          <w:lang w:val="en-US"/>
        </w:rPr>
        <w:t>/</w:t>
      </w:r>
      <w:proofErr w:type="spellStart"/>
      <w:r>
        <w:rPr>
          <w:rFonts w:cs="Times New Roman"/>
          <w:sz w:val="24"/>
          <w:szCs w:val="24"/>
          <w:lang w:val="en-US"/>
        </w:rPr>
        <w:t>Lendahl</w:t>
      </w:r>
      <w:proofErr w:type="spellEnd"/>
      <w:r>
        <w:rPr>
          <w:rFonts w:cs="Times New Roman"/>
          <w:sz w:val="24"/>
          <w:szCs w:val="24"/>
          <w:lang w:val="en-US"/>
        </w:rPr>
        <w:t xml:space="preserve"> high</w:t>
      </w:r>
      <w:r w:rsidRPr="00090428">
        <w:rPr>
          <w:rFonts w:cs="Times New Roman"/>
          <w:sz w:val="24"/>
          <w:szCs w:val="24"/>
          <w:lang w:val="en-US"/>
        </w:rPr>
        <w:t xml:space="preserve">”). </w:t>
      </w:r>
      <w:r>
        <w:rPr>
          <w:rFonts w:cs="Times New Roman"/>
          <w:sz w:val="24"/>
          <w:szCs w:val="24"/>
          <w:lang w:val="en-US"/>
        </w:rPr>
        <w:t xml:space="preserve">Seed was set to </w:t>
      </w:r>
      <w:proofErr w:type="gramStart"/>
      <w:r>
        <w:rPr>
          <w:rFonts w:cs="Times New Roman"/>
          <w:sz w:val="24"/>
          <w:szCs w:val="24"/>
          <w:lang w:val="en-US"/>
        </w:rPr>
        <w:t>1</w:t>
      </w:r>
      <w:proofErr w:type="gramEnd"/>
      <w:r>
        <w:rPr>
          <w:rFonts w:cs="Times New Roman"/>
          <w:sz w:val="24"/>
          <w:szCs w:val="24"/>
          <w:lang w:val="en-US"/>
        </w:rPr>
        <w:t xml:space="preserve"> and </w:t>
      </w:r>
      <w:r w:rsidRPr="00090428">
        <w:rPr>
          <w:rFonts w:cs="Times New Roman"/>
          <w:sz w:val="24"/>
          <w:szCs w:val="24"/>
          <w:lang w:val="en-US"/>
        </w:rPr>
        <w:t>out-of-bag</w:t>
      </w:r>
      <w:r>
        <w:rPr>
          <w:rFonts w:cs="Times New Roman"/>
          <w:sz w:val="24"/>
          <w:szCs w:val="24"/>
          <w:lang w:val="en-US"/>
        </w:rPr>
        <w:t xml:space="preserve"> (OOB)</w:t>
      </w:r>
      <w:r w:rsidRPr="00090428">
        <w:rPr>
          <w:rFonts w:cs="Times New Roman"/>
          <w:sz w:val="24"/>
          <w:szCs w:val="24"/>
          <w:lang w:val="en-US"/>
        </w:rPr>
        <w:t xml:space="preserve"> error was calculated.</w:t>
      </w:r>
      <w:r>
        <w:rPr>
          <w:rFonts w:cs="Times New Roman"/>
          <w:sz w:val="24"/>
          <w:szCs w:val="24"/>
          <w:lang w:val="en-US"/>
        </w:rPr>
        <w:t xml:space="preserve"> Top 5% DMPs (r</w:t>
      </w:r>
      <w:r w:rsidRPr="00090428">
        <w:rPr>
          <w:rFonts w:cs="Times New Roman"/>
          <w:sz w:val="24"/>
          <w:szCs w:val="24"/>
          <w:lang w:val="en-US"/>
        </w:rPr>
        <w:t>anked by decreasing order of importance based on the me</w:t>
      </w:r>
      <w:r>
        <w:rPr>
          <w:rFonts w:cs="Times New Roman"/>
          <w:sz w:val="24"/>
          <w:szCs w:val="24"/>
          <w:lang w:val="en-US"/>
        </w:rPr>
        <w:t>an decrease in the Gini Index)</w:t>
      </w:r>
      <w:r w:rsidRPr="00090428">
        <w:rPr>
          <w:rFonts w:cs="Times New Roman"/>
          <w:sz w:val="24"/>
          <w:szCs w:val="24"/>
          <w:lang w:val="en-US"/>
        </w:rPr>
        <w:t xml:space="preserve"> </w:t>
      </w:r>
      <w:proofErr w:type="gramStart"/>
      <w:r>
        <w:rPr>
          <w:rFonts w:cs="Times New Roman"/>
          <w:sz w:val="24"/>
          <w:szCs w:val="24"/>
          <w:lang w:val="en-US"/>
        </w:rPr>
        <w:t>were used</w:t>
      </w:r>
      <w:proofErr w:type="gramEnd"/>
      <w:r>
        <w:rPr>
          <w:rFonts w:cs="Times New Roman"/>
          <w:sz w:val="24"/>
          <w:szCs w:val="24"/>
          <w:lang w:val="en-US"/>
        </w:rPr>
        <w:t xml:space="preserve"> to create Hypoxia-M classifier. </w:t>
      </w:r>
    </w:p>
    <w:p w:rsidR="005250AC" w:rsidRPr="00096B55" w:rsidRDefault="005250AC" w:rsidP="005250AC">
      <w:pPr>
        <w:pStyle w:val="ListParagraph"/>
        <w:numPr>
          <w:ilvl w:val="0"/>
          <w:numId w:val="1"/>
        </w:numPr>
        <w:jc w:val="both"/>
        <w:rPr>
          <w:rFonts w:cs="Times New Roman"/>
          <w:b/>
          <w:sz w:val="24"/>
          <w:szCs w:val="24"/>
          <w:u w:val="single"/>
          <w:lang w:val="en-US"/>
        </w:rPr>
      </w:pPr>
      <w:r w:rsidRPr="00096B55">
        <w:rPr>
          <w:rFonts w:cs="Times New Roman"/>
          <w:b/>
          <w:sz w:val="24"/>
          <w:szCs w:val="24"/>
          <w:u w:val="single"/>
          <w:lang w:val="en-US"/>
        </w:rPr>
        <w:t>Hypoxia-M validation</w:t>
      </w:r>
      <w:r>
        <w:rPr>
          <w:rFonts w:cs="Times New Roman"/>
          <w:b/>
          <w:sz w:val="24"/>
          <w:szCs w:val="24"/>
          <w:u w:val="single"/>
          <w:lang w:val="en-US"/>
        </w:rPr>
        <w:t>:</w:t>
      </w:r>
    </w:p>
    <w:p w:rsidR="005250AC" w:rsidRPr="00965D71" w:rsidRDefault="005250AC" w:rsidP="005250AC">
      <w:pPr>
        <w:jc w:val="both"/>
        <w:rPr>
          <w:rFonts w:cs="Times New Roman"/>
          <w:sz w:val="24"/>
          <w:szCs w:val="24"/>
          <w:lang w:val="en-US"/>
        </w:rPr>
      </w:pPr>
      <w:r w:rsidRPr="00965D71">
        <w:rPr>
          <w:rFonts w:cs="Times New Roman"/>
          <w:sz w:val="24"/>
          <w:szCs w:val="24"/>
          <w:lang w:val="en-US"/>
        </w:rPr>
        <w:t>The forest was subsequently used to independently predict the risk groups for patient samples</w:t>
      </w:r>
      <w:r>
        <w:rPr>
          <w:rFonts w:cs="Times New Roman"/>
          <w:sz w:val="24"/>
          <w:szCs w:val="24"/>
          <w:lang w:val="en-US"/>
        </w:rPr>
        <w:t xml:space="preserve"> independently in the primary RCHT cohort </w:t>
      </w:r>
      <w:r>
        <w:rPr>
          <w:rFonts w:cs="Times New Roman"/>
          <w:sz w:val="24"/>
          <w:szCs w:val="24"/>
          <w:lang w:val="en-US"/>
        </w:rPr>
        <w:fldChar w:fldCharType="begin" w:fldLock="1"/>
      </w:r>
      <w:r>
        <w:rPr>
          <w:rFonts w:cs="Times New Roman"/>
          <w:sz w:val="24"/>
          <w:szCs w:val="24"/>
          <w:lang w:val="en-US"/>
        </w:rPr>
        <w:instrText>ADDIN CSL_CITATION {"citationItems":[{"id":"ITEM-1","itemData":{"DOI":"10.1158/1078-0432.CCR-22-3790","abstract":"</w:instrText>
      </w:r>
      <w:r>
        <w:rPr>
          <w:rFonts w:ascii="Cambria Math" w:hAnsi="Cambria Math" w:cs="Cambria Math"/>
          <w:sz w:val="24"/>
          <w:szCs w:val="24"/>
          <w:lang w:val="en-US"/>
        </w:rPr>
        <w:instrText>◥</w:instrText>
      </w:r>
      <w:r>
        <w:rPr>
          <w:rFonts w:cs="Times New Roman"/>
          <w:sz w:val="24"/>
          <w:szCs w:val="24"/>
          <w:lang w:val="en-US"/>
        </w:rPr>
        <w:instrText xml:space="preserve"> Purpose: Tumor hypoxia is a paradigmatic negative prognosti-cator of treatment resistance in head and neck squamous cell carcinoma (HNSCC). The lack of robust and reliable hypoxia classifiers limits the adaptation of stratified therapies. We hypothesized that the tumor DNA methylation landscape might indicate epigenetic reprogramming induced by chronic intratumoral hypoxia. Experimental Design: A DNA-methylome-based tumor hyp-oxia classifier (Hypoxia-M) was trained in the TCGA (The Cancer Genome Atlas)-HNSCC cohort based on matched assignments using gene expression-based signatures of hypoxia (Hypoxia-GES). Hypoxia-M was validated in a multicenter DKTK-ROG trial consisting of human papillomavirus (HPV)-negative patients with HNSCC treated with primary radiochemotherapy (RCHT). Results: Although hypoxia-GES failed to stratify patients in the DKTK-ROG, Hypoxia-M was independently prognostic for local recurrence (HR, 4.3; P ¼ 0.001) and overall survival (HR, 2.34; P ¼ 0.03) but not distant metastasis after RCHT in both cohorts. Hypoxia-M status was inversely associated with CD8 T-cell infiltration in both cohorts. Hypoxia-M was further prognostic in the TCGA-PanCancer cohort (HR, 1.83; P ¼ 0.04), underscoring the breadth of this classifier for predicting tumor hypoxia status. Conclusions: Our findings highlight an unexplored avenue for DNA methylation-based classifiers as biomarkers of tumoral hyp-oxia for identifying high-risk features in patients with HNSCC tumors.","author":[{"dropping-particle":"","family":"Tawk","given":"Bouchra","non-dropping-particle":"","parse-names":false,"suffix":""},{"dropping-particle":"","family":"Rein","given":"Katrin","non-dropping-particle":"","parse-names":false,"suffix":""},{"dropping-particle":"","family":"Schwager","given":"Christian","non-dropping-particle":"","parse-names":false,"suffix":""},{"dropping-particle":"","family":"Knoll","given":"Maximilian","non-dropping-particle":"","parse-names":false,"suffix":""},{"dropping-particle":"","family":"Wirkner","given":"Ute","non-dropping-particle":"","parse-names":false,"suffix":""},{"dropping-particle":"","family":"Hörner-Rieber","given":"Juliane","non-dropping-particle":"","parse-names":false,"suffix":""},{"dropping-particle":"","family":"Liermann","given":"Jakob","non-dropping-particle":"","parse-names":false,"suffix":""},{"dropping-particle":"","family":"Kurth","given":"Ina","non-dropping-particle":"","parse-names":false,"suffix":""},{"dropping-particle":"","family":"Balermpas","given":"Panagiotis","non-dropping-particle":"","parse-names":false,"suffix":""},{"dropping-particle":"","family":"Rödel","given":"Claus","non-dropping-particle":"","parse-names":false,"suffix":""},{"dropping-particle":"","family":"Linge","given":"Annett","non-dropping-particle":"","parse-names":false,"suffix":""},{"dropping-particle":"","family":"Löck","given":"Steffen","non-dropping-particle":"","parse-names":false,"suffix":""},{"dropping-particle":"","family":"Lohaus","given":"Fabian","non-dropping-particle":"","parse-names":false,"suffix":""},{"dropping-particle":"","family":"Tinhofer","given":"Ingeborg","non-dropping-particle":"","parse-names":false,"suffix":""},{"dropping-particle":"","family":"Krause","given":"Mechtild","non-dropping-particle":"","parse-names":false,"suffix":""},{"dropping-particle":"","family":"Stuschke","given":"Martin","non-dropping-particle":"","parse-names":false,"suffix":""},{"dropping-particle":"","family":"Grosu","given":"Anca Ligia","non-dropping-particle":"","parse-names":false,"suffix":""},{"dropping-particle":"","family":"Zips","given":"Daniel","non-dropping-particle":"","parse-names":false,"suffix":""},{"dropping-particle":"","family":"Combs","given":"Stephanie E.","non-dropping-particle":"","parse-names":false,"suffix":""},{"dropping-particle":"","family":"Belka","given":"Claus","non-dropping-particle":"","parse-names":false,"suffix":""},{"dropping-particle":"","family":"Stenzinger","given":"Albrecht","non-dropping-particle":"","parse-names":false,"suffix":""},{"dropping-particle":"","family":"Herold-Mende","given":"Christel","non-dropping-particle":"","parse-names":false,"suffix":""},{"dropping-particle":"","family":"Baumann","given":"Michael","non-dropping-particle":"","parse-names":false,"suffix":""},{"dropping-particle":"","family":"Schirmacher","given":"Peter","non-dropping-particle":"","parse-names":false,"suffix":""},{"dropping-particle":"","family":"Debus","given":"Jürgen","non-dropping-particle":"","parse-names":false,"suffix":""},{"dropping-particle":"","family":"Abdollahi","given":"Amir","non-dropping-particle":"","parse-names":false,"suffix":""}],"container-title":"Clinical Cancer Research","id":"ITEM-1","issue":"5","issued":{"date-parts":[["2023","5","2"]]},"page":"OF1-OF14","publisher":"XX-XX","title":"DNA-Methylome–Based Tumor Hypoxia Classifier Identifies HPV-Negative Head and Neck Cancer Patients at Risk for Locoregional Recurrence after Primary Radiochemotherapy","type":"article-journal","volume":"5"},"uris":["http://www.mendeley.com/documents/?uuid=17b649a1-88b6-3d44-855d-b55cfd6534ef"]}],"mendeley":{"formattedCitation":"[9]","plainTextFormattedCitation":"[9]","previouslyFormattedCitation":"[9]"},"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[9]</w:t>
      </w:r>
      <w:r>
        <w:rPr>
          <w:rFonts w:cs="Times New Roman"/>
          <w:sz w:val="24"/>
          <w:szCs w:val="24"/>
          <w:lang w:val="en-US"/>
        </w:rPr>
        <w:fldChar w:fldCharType="end"/>
      </w:r>
      <w:r>
        <w:rPr>
          <w:rFonts w:cs="Times New Roman"/>
          <w:sz w:val="24"/>
          <w:szCs w:val="24"/>
          <w:lang w:val="en-US"/>
        </w:rPr>
        <w:t xml:space="preserve"> and</w:t>
      </w:r>
      <w:r w:rsidRPr="00965D71">
        <w:rPr>
          <w:rFonts w:cs="Times New Roman"/>
          <w:sz w:val="24"/>
          <w:szCs w:val="24"/>
          <w:lang w:val="en-US"/>
        </w:rPr>
        <w:t xml:space="preserve"> in the</w:t>
      </w:r>
      <w:r>
        <w:rPr>
          <w:rFonts w:cs="Times New Roman"/>
          <w:sz w:val="24"/>
          <w:szCs w:val="24"/>
          <w:lang w:val="en-US"/>
        </w:rPr>
        <w:t xml:space="preserve"> present study in the retrospective</w:t>
      </w:r>
      <w:r w:rsidRPr="00965D71">
        <w:rPr>
          <w:rFonts w:cs="Times New Roman"/>
          <w:sz w:val="24"/>
          <w:szCs w:val="24"/>
          <w:lang w:val="en-US"/>
        </w:rPr>
        <w:t xml:space="preserve"> </w:t>
      </w:r>
      <w:r>
        <w:rPr>
          <w:rFonts w:cs="Times New Roman"/>
          <w:sz w:val="24"/>
          <w:szCs w:val="24"/>
          <w:lang w:val="en-US"/>
        </w:rPr>
        <w:t>PORT-C cohort.</w:t>
      </w:r>
    </w:p>
    <w:p w:rsidR="005250AC" w:rsidRPr="00096B55" w:rsidRDefault="005250AC" w:rsidP="005250AC">
      <w:pPr>
        <w:pStyle w:val="ListParagraph"/>
        <w:numPr>
          <w:ilvl w:val="0"/>
          <w:numId w:val="1"/>
        </w:numPr>
        <w:jc w:val="both"/>
        <w:rPr>
          <w:rFonts w:cs="Times New Roman"/>
          <w:b/>
          <w:sz w:val="24"/>
          <w:szCs w:val="24"/>
          <w:u w:val="single"/>
          <w:lang w:val="en-US"/>
        </w:rPr>
      </w:pPr>
      <w:r w:rsidRPr="00096B55">
        <w:rPr>
          <w:rFonts w:cs="Times New Roman"/>
          <w:b/>
          <w:sz w:val="24"/>
          <w:szCs w:val="24"/>
          <w:u w:val="single"/>
          <w:lang w:val="en-US"/>
        </w:rPr>
        <w:t>Survival Analysis:</w:t>
      </w:r>
    </w:p>
    <w:p w:rsidR="00132E57" w:rsidRPr="005250AC" w:rsidRDefault="005250AC" w:rsidP="005250AC">
      <w:pPr>
        <w:jc w:val="both"/>
        <w:rPr>
          <w:rFonts w:cs="Times New Roman"/>
          <w:sz w:val="24"/>
          <w:szCs w:val="24"/>
          <w:lang w:val="en-US"/>
        </w:rPr>
      </w:pPr>
      <w:r w:rsidRPr="00965D71">
        <w:rPr>
          <w:rFonts w:cs="Times New Roman"/>
          <w:sz w:val="24"/>
          <w:szCs w:val="24"/>
          <w:lang w:val="en-US"/>
        </w:rPr>
        <w:t>Kaplan-Meier (KM) survival curves were compared to estimate the difference in clinical outcomes between Hypoxia-M assigned groups using p&lt;0.05 for significance in</w:t>
      </w:r>
      <w:r>
        <w:rPr>
          <w:rFonts w:cs="Times New Roman"/>
          <w:sz w:val="24"/>
          <w:szCs w:val="24"/>
          <w:lang w:val="en-US"/>
        </w:rPr>
        <w:t xml:space="preserve"> “survival”</w:t>
      </w:r>
      <w:r>
        <w:rPr>
          <w:rFonts w:cs="Times New Roman"/>
          <w:sz w:val="24"/>
          <w:szCs w:val="24"/>
          <w:lang w:val="en-US"/>
        </w:rPr>
        <w:fldChar w:fldCharType="begin" w:fldLock="1"/>
      </w:r>
      <w:r>
        <w:rPr>
          <w:rFonts w:cs="Times New Roman"/>
          <w:sz w:val="24"/>
          <w:szCs w:val="24"/>
          <w:lang w:val="en-US"/>
        </w:rPr>
        <w:instrText>ADDIN CSL_CITATION {"citationItems":[{"id":"ITEM-1","itemData":{"ISBN":"9781475732955","author":[{"dropping-particle":"","family":"Therneau","given":"T M","non-dropping-particle":"","parse-names":false,"suffix":""},{"dropping-particle":"","family":"Grambsch","given":"P M","non-dropping-particle":"","parse-names":false,"suffix":""}],"id":"ITEM-1","issued":{"date-parts":[["2014"]]},"publisher":"Springer","title":"Modeling Survival Data: Extending the Cox Model","type":"book"},"uris":["http://www.mendeley.com/documents/?uuid=34142b4b-be66-4764-935f-92785e0537ae"]}],"mendeley":{"formattedCitation":"[14]","plainTextFormattedCitation":"[14]","previouslyFormattedCitation":"[14]"},"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[14]</w:t>
      </w:r>
      <w:r>
        <w:rPr>
          <w:rFonts w:cs="Times New Roman"/>
          <w:sz w:val="24"/>
          <w:szCs w:val="24"/>
          <w:lang w:val="en-US"/>
        </w:rPr>
        <w:fldChar w:fldCharType="end"/>
      </w:r>
      <w:r>
        <w:rPr>
          <w:rFonts w:cs="Times New Roman"/>
          <w:sz w:val="24"/>
          <w:szCs w:val="24"/>
          <w:lang w:val="en-US"/>
        </w:rPr>
        <w:t xml:space="preserve"> and “</w:t>
      </w:r>
      <w:proofErr w:type="spellStart"/>
      <w:r>
        <w:rPr>
          <w:rFonts w:cs="Times New Roman"/>
          <w:sz w:val="24"/>
          <w:szCs w:val="24"/>
          <w:lang w:val="en-US"/>
        </w:rPr>
        <w:t>ggsurv</w:t>
      </w:r>
      <w:proofErr w:type="spellEnd"/>
      <w:r>
        <w:rPr>
          <w:rFonts w:cs="Times New Roman"/>
          <w:sz w:val="24"/>
          <w:szCs w:val="24"/>
          <w:lang w:val="en-US"/>
        </w:rPr>
        <w:t>”</w:t>
      </w:r>
      <w:r w:rsidRPr="00965D71">
        <w:rPr>
          <w:rFonts w:cs="Times New Roman"/>
          <w:sz w:val="24"/>
          <w:szCs w:val="24"/>
          <w:lang w:val="en-US"/>
        </w:rPr>
        <w:t xml:space="preserve"> R packages</w:t>
      </w:r>
      <w:r>
        <w:rPr>
          <w:rFonts w:cs="Times New Roman"/>
          <w:sz w:val="24"/>
          <w:szCs w:val="24"/>
          <w:lang w:val="en-US"/>
        </w:rPr>
        <w:fldChar w:fldCharType="begin" w:fldLock="1"/>
      </w:r>
      <w:r>
        <w:rPr>
          <w:rFonts w:cs="Times New Roman"/>
          <w:sz w:val="24"/>
          <w:szCs w:val="24"/>
          <w:lang w:val="en-US"/>
        </w:rPr>
        <w:instrText>ADDIN CSL_CITATION {"citationItems":[{"id":"ITEM-1","itemData":{"URL":"https://cran.r-project.org/web/packages/survminer/index.html","accessed":{"date-parts":[["2019","4","1"]]},"author":[{"dropping-particle":"","family":"Alboukadel","given":"Kassambara","non-dropping-particle":"","parse-names":false,"suffix":""},{"dropping-particle":"","family":"Marcin","given":"Kosinski","non-dropping-particle":"","parse-names":false,"suffix":""},{"dropping-particle":"","family":"Przemyslaw","given":"Biecek","non-dropping-particle":"","parse-names":false,"suffix":""},{"dropping-particle":"","family":"Scheipl","given":"Fabian","non-dropping-particle":"","parse-names":false,"suffix":""}],"container-title":"R package version 0.4.3","id":"ITEM-1","issued":{"date-parts":[["2018"]]},"publisher":"Comprehensive R Archive Network (CRAN)","title":"Drawing Survival Curves using 'ggplot2' [R package survminer version 0.4.3]","type":"webpage"},"uris":["http://www.mendeley.com/documents/?uuid=166ec585-102a-3caa-b79f-3c708ea91c76"]}],"mendeley":{"formattedCitation":"[15]","plainTextFormattedCitation":"[15]","previouslyFormattedCitation":"[15]"},"properties":{"noteIndex":0},"schema":"https://github.com/citation-style-language/schema/raw/master/csl-citation.json"}</w:instrText>
      </w:r>
      <w:r>
        <w:rPr>
          <w:rFonts w:cs="Times New Roman"/>
          <w:sz w:val="24"/>
          <w:szCs w:val="24"/>
          <w:lang w:val="en-US"/>
        </w:rPr>
        <w:fldChar w:fldCharType="separate"/>
      </w:r>
      <w:r w:rsidRPr="00F8165A">
        <w:rPr>
          <w:rFonts w:cs="Times New Roman"/>
          <w:noProof/>
          <w:sz w:val="24"/>
          <w:szCs w:val="24"/>
          <w:lang w:val="en-US"/>
        </w:rPr>
        <w:t>[15]</w:t>
      </w:r>
      <w:r>
        <w:rPr>
          <w:rFonts w:cs="Times New Roman"/>
          <w:sz w:val="24"/>
          <w:szCs w:val="24"/>
          <w:lang w:val="en-US"/>
        </w:rPr>
        <w:fldChar w:fldCharType="end"/>
      </w:r>
      <w:r w:rsidRPr="00965D71">
        <w:rPr>
          <w:rFonts w:cs="Times New Roman"/>
          <w:sz w:val="24"/>
          <w:szCs w:val="24"/>
          <w:lang w:val="en-US"/>
        </w:rPr>
        <w:t xml:space="preserve">. For Hypoxia-M high vs low risk groups, median time to clinical event and 95% confidence intervals </w:t>
      </w:r>
      <w:proofErr w:type="gramStart"/>
      <w:r w:rsidRPr="00965D71">
        <w:rPr>
          <w:rFonts w:cs="Times New Roman"/>
          <w:sz w:val="24"/>
          <w:szCs w:val="24"/>
          <w:lang w:val="en-US"/>
        </w:rPr>
        <w:t>were calculated</w:t>
      </w:r>
      <w:proofErr w:type="gramEnd"/>
      <w:r w:rsidRPr="00965D71">
        <w:rPr>
          <w:rFonts w:cs="Times New Roman"/>
          <w:sz w:val="24"/>
          <w:szCs w:val="24"/>
          <w:lang w:val="en-US"/>
        </w:rPr>
        <w:t xml:space="preserve"> in “survival” package. </w:t>
      </w:r>
      <w:bookmarkStart w:id="0" w:name="_GoBack"/>
      <w:bookmarkEnd w:id="0"/>
    </w:p>
    <w:p w:rsidR="005250AC" w:rsidRPr="005250AC" w:rsidRDefault="005250AC" w:rsidP="005250AC">
      <w:pPr>
        <w:pStyle w:val="ListParagraph"/>
        <w:numPr>
          <w:ilvl w:val="0"/>
          <w:numId w:val="1"/>
        </w:numPr>
        <w:jc w:val="both"/>
        <w:rPr>
          <w:rFonts w:cs="Times New Roman"/>
          <w:b/>
          <w:sz w:val="24"/>
          <w:szCs w:val="24"/>
          <w:u w:val="single"/>
          <w:lang w:val="en-US"/>
        </w:rPr>
      </w:pPr>
      <w:r w:rsidRPr="005250AC">
        <w:rPr>
          <w:rFonts w:cs="Times New Roman"/>
          <w:b/>
          <w:sz w:val="24"/>
          <w:szCs w:val="24"/>
          <w:u w:val="single"/>
          <w:lang w:val="en-US"/>
        </w:rPr>
        <w:t>References</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Pr>
          <w:lang w:val="en-US"/>
        </w:rPr>
        <w:fldChar w:fldCharType="begin" w:fldLock="1"/>
      </w:r>
      <w:r>
        <w:rPr>
          <w:lang w:val="en-US"/>
        </w:rPr>
        <w:instrText xml:space="preserve">ADDIN Mendeley Bibliography CSL_BIBLIOGRAPHY </w:instrText>
      </w:r>
      <w:r>
        <w:rPr>
          <w:lang w:val="en-US"/>
        </w:rPr>
        <w:fldChar w:fldCharType="separate"/>
      </w:r>
      <w:r w:rsidRPr="005250AC">
        <w:rPr>
          <w:rFonts w:ascii="Calibri" w:hAnsi="Calibri" w:cs="Calibri"/>
          <w:noProof/>
          <w:szCs w:val="24"/>
        </w:rPr>
        <w:t>[1]</w:t>
      </w:r>
      <w:r w:rsidRPr="005250AC">
        <w:rPr>
          <w:rFonts w:ascii="Calibri" w:hAnsi="Calibri" w:cs="Calibri"/>
          <w:noProof/>
          <w:szCs w:val="24"/>
        </w:rPr>
        <w:tab/>
        <w:t>Lohaus F, Linge A, Tinhofer I, Budach V, Gkika E, Stuschke M, et al. HPV16 DNA status is a strong prognosticator of loco-regional control after postoperative radiochemotherapy of locally advanced oropharyngeal carcinoma: Results from a multicentre explorative study of the German Cancer Consortium Radiation Oncology Group (DKTK-ROG). Radiother Oncol 2014;113:317–23. https://doi.org/10.1016/j.radonc.2014.11.011.</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[2]</w:t>
      </w:r>
      <w:r w:rsidRPr="005250AC">
        <w:rPr>
          <w:rFonts w:ascii="Calibri" w:hAnsi="Calibri" w:cs="Calibri"/>
          <w:noProof/>
          <w:szCs w:val="24"/>
        </w:rPr>
        <w:tab/>
        <w:t>Linge A, Lohaus F, Löck S, Nowak A, Gudziol V, Valentini C, et al. HPV status, cancer stem cell marker expression, hypoxia gene signatures and tumour volume identify good prognosis subgroups in patients with HNSCC after primary radiochemotherapy: A multicentre retrospective study of the German Cancer Consortium Radiation Oncology Group (DKTK-ROG). Radiother Oncol 2016;121:364–73. https://doi.org/10.1016/j.radonc.2016.11.008.</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[3]</w:t>
      </w:r>
      <w:r w:rsidRPr="005250AC">
        <w:rPr>
          <w:rFonts w:ascii="Calibri" w:hAnsi="Calibri" w:cs="Calibri"/>
          <w:noProof/>
          <w:szCs w:val="24"/>
        </w:rPr>
        <w:tab/>
        <w:t>Linge A, Schötz U, Löck S, Lohaus F, von Neubeck C, Gudziol V, et al. Comparison of detection methods for HPV status as a prognostic marker for loco-regional control after radiochemotherapy in patients with HNSCC. Radiother Oncol 2018;127:27–35. https://doi.org/10.1016/j.radonc.2017.12.007.</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[4]</w:t>
      </w:r>
      <w:r w:rsidRPr="005250AC">
        <w:rPr>
          <w:rFonts w:ascii="Calibri" w:hAnsi="Calibri" w:cs="Calibri"/>
          <w:noProof/>
          <w:szCs w:val="24"/>
        </w:rPr>
        <w:tab/>
        <w:t>Aryee MJ, Jaffe AE, Corrada-Bravo H, Ladd-Acosta C, Feinberg AP, Hansen KD, et al. Minfi: a flexible and comprehensive Bioconductor package for the analysis of Infinium DNA methylation microarrays. Bioinformatics 2014;30:1363–9. https://doi.org/10.1093/bioinformatics/btu049.</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[5]</w:t>
      </w:r>
      <w:r w:rsidRPr="005250AC">
        <w:rPr>
          <w:rFonts w:ascii="Calibri" w:hAnsi="Calibri" w:cs="Calibri"/>
          <w:noProof/>
          <w:szCs w:val="24"/>
        </w:rPr>
        <w:tab/>
        <w:t>Fortin J-P, Labbe A, Lemire M, Zanke BW, Hudson TJ, Fertig EJ, et al. Functional normalization of 450k methylation array data improves replication in large cancer studies. Genome Biol 2014;15:503. https://doi.org/10.1186/s13059-014-0503-2.</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[6]</w:t>
      </w:r>
      <w:r w:rsidRPr="005250AC">
        <w:rPr>
          <w:rFonts w:ascii="Calibri" w:hAnsi="Calibri" w:cs="Calibri"/>
          <w:noProof/>
          <w:szCs w:val="24"/>
        </w:rPr>
        <w:tab/>
        <w:t>Team R core. R: A Language and Environment for Statistical Computing 2018.</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[7]</w:t>
      </w:r>
      <w:r w:rsidRPr="005250AC">
        <w:rPr>
          <w:rFonts w:ascii="Calibri" w:hAnsi="Calibri" w:cs="Calibri"/>
          <w:noProof/>
          <w:szCs w:val="24"/>
        </w:rPr>
        <w:tab/>
        <w:t xml:space="preserve">Dedeurwaerder S, Defrance M, Bizet M, Calonne E, Bontempi G, Fuks F. A comprehensive overview of Infinium HumanMethylation450 data processing. Brief Bioinform 2014;15:929–41. </w:t>
      </w:r>
      <w:r w:rsidRPr="005250AC">
        <w:rPr>
          <w:rFonts w:ascii="Calibri" w:hAnsi="Calibri" w:cs="Calibri"/>
          <w:noProof/>
          <w:szCs w:val="24"/>
        </w:rPr>
        <w:lastRenderedPageBreak/>
        <w:t>https://doi.org/10.1093/bib/bbt054.</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[8]</w:t>
      </w:r>
      <w:r w:rsidRPr="005250AC">
        <w:rPr>
          <w:rFonts w:ascii="Calibri" w:hAnsi="Calibri" w:cs="Calibri"/>
          <w:noProof/>
          <w:szCs w:val="24"/>
        </w:rPr>
        <w:tab/>
        <w:t>Chen Y, Lemire M, Choufani S, Butcher DT, Grafodatskaya D, Zanke BW, et al. Discovery of cross-reactive probes and polymorphic CpGs in the Illumina Infinium HumanMethylation450 microarray. Epigenetics 2013;8:203–9. https://doi.org/10.4161/epi.23470.</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[9]</w:t>
      </w:r>
      <w:r w:rsidRPr="005250AC">
        <w:rPr>
          <w:rFonts w:ascii="Calibri" w:hAnsi="Calibri" w:cs="Calibri"/>
          <w:noProof/>
          <w:szCs w:val="24"/>
        </w:rPr>
        <w:tab/>
        <w:t>Tawk B, Rein K, Schwager C, Knoll M, Wirkner U, Hörner-Rieber J, et al. DNA-Methylome–Based Tumor Hypoxia Classifier Identifies HPV-Negative Head and Neck Cancer Patients at Risk for Locoregional Recurrence after Primary Radiochemotherapy. Clin Cancer Res 2023;5:OF1–14. https://doi.org/10.1158/1078-0432.CCR-22-3790.</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[10]</w:t>
      </w:r>
      <w:r w:rsidRPr="005250AC">
        <w:rPr>
          <w:rFonts w:ascii="Calibri" w:hAnsi="Calibri" w:cs="Calibri"/>
          <w:noProof/>
          <w:szCs w:val="24"/>
        </w:rPr>
        <w:tab/>
        <w:t>Toustrup K, Sørensen BS, Lassen P, Wiuf C, Alsner J, Overgaard J. Gene expression classifier predicts for hypoxic modification of radiotherapy with nimorazole in squamous cell carcinomas of the head and neck. Radiother Oncol 2012;102:122–9. https://doi.org/10.1016/J.RADONC.2011.09.010.</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[11]</w:t>
      </w:r>
      <w:r w:rsidRPr="005250AC">
        <w:rPr>
          <w:rFonts w:ascii="Calibri" w:hAnsi="Calibri" w:cs="Calibri"/>
          <w:noProof/>
          <w:szCs w:val="24"/>
        </w:rPr>
        <w:tab/>
        <w:t>Lendahl U, Lee KL, Yang H, Poellinger L. Generating specificity and diversity in the transcriptional response to hypoxia. Nat Rev Genet 2009;10:821–32. https://doi.org/10.1038/nrg2665.</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[12]</w:t>
      </w:r>
      <w:r w:rsidRPr="005250AC">
        <w:rPr>
          <w:rFonts w:ascii="Calibri" w:hAnsi="Calibri" w:cs="Calibri"/>
          <w:noProof/>
          <w:szCs w:val="24"/>
        </w:rPr>
        <w:tab/>
        <w:t>Tawk B, Schwager C, Deffaa O, Dyckhoff G, Warta R, Linge A, et al. Comparative analysis of transcriptomics based hypoxia signatures in head- and neck squamous cell carcinoma. Radiother Oncol 2016;118:350–8. https://doi.org/10.1016/j.radonc.2015.11.027.</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[13]</w:t>
      </w:r>
      <w:r w:rsidRPr="005250AC">
        <w:rPr>
          <w:rFonts w:ascii="Calibri" w:hAnsi="Calibri" w:cs="Calibri"/>
          <w:noProof/>
          <w:szCs w:val="24"/>
        </w:rPr>
        <w:tab/>
        <w:t>Liaw A, Wiener M. Classification and Regression by randomForest. R News 2002;2:18–22.</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szCs w:val="24"/>
        </w:rPr>
      </w:pPr>
      <w:r w:rsidRPr="005250AC">
        <w:rPr>
          <w:rFonts w:ascii="Calibri" w:hAnsi="Calibri" w:cs="Calibri"/>
          <w:noProof/>
          <w:szCs w:val="24"/>
        </w:rPr>
        <w:t>[14]</w:t>
      </w:r>
      <w:r w:rsidRPr="005250AC">
        <w:rPr>
          <w:rFonts w:ascii="Calibri" w:hAnsi="Calibri" w:cs="Calibri"/>
          <w:noProof/>
          <w:szCs w:val="24"/>
        </w:rPr>
        <w:tab/>
        <w:t>Therneau TM, Grambsch PM. Modeling Survival Data: Extending the Cox Model. Springer; 2014.</w:t>
      </w:r>
    </w:p>
    <w:p w:rsidR="005250AC" w:rsidRPr="005250AC" w:rsidRDefault="005250AC" w:rsidP="005250AC">
      <w:pPr>
        <w:widowControl w:val="0"/>
        <w:autoSpaceDE w:val="0"/>
        <w:autoSpaceDN w:val="0"/>
        <w:adjustRightInd w:val="0"/>
        <w:spacing w:line="240" w:lineRule="auto"/>
        <w:ind w:left="640" w:hanging="640"/>
        <w:rPr>
          <w:rFonts w:ascii="Calibri" w:hAnsi="Calibri" w:cs="Calibri"/>
          <w:noProof/>
        </w:rPr>
      </w:pPr>
      <w:r w:rsidRPr="005250AC">
        <w:rPr>
          <w:rFonts w:ascii="Calibri" w:hAnsi="Calibri" w:cs="Calibri"/>
          <w:noProof/>
          <w:szCs w:val="24"/>
        </w:rPr>
        <w:t>[15]</w:t>
      </w:r>
      <w:r w:rsidRPr="005250AC">
        <w:rPr>
          <w:rFonts w:ascii="Calibri" w:hAnsi="Calibri" w:cs="Calibri"/>
          <w:noProof/>
          <w:szCs w:val="24"/>
        </w:rPr>
        <w:tab/>
        <w:t>Alboukadel K, Marcin K, Przemyslaw B, Scheipl F. Drawing Survival Curves using “ggplot2” [R package survminer version 0.4.3]. R Packag Version 043 2018. https://cran.r-project.org/web/packages/survminer/index.html (accessed April 1, 2019).</w:t>
      </w:r>
    </w:p>
    <w:p w:rsidR="005250AC" w:rsidRPr="005250AC" w:rsidRDefault="005250AC">
      <w:pPr>
        <w:rPr>
          <w:lang w:val="en-US"/>
        </w:rPr>
      </w:pPr>
      <w:r>
        <w:rPr>
          <w:lang w:val="en-US"/>
        </w:rPr>
        <w:fldChar w:fldCharType="end"/>
      </w:r>
    </w:p>
    <w:sectPr w:rsidR="005250AC" w:rsidRPr="00525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E939A6"/>
    <w:multiLevelType w:val="hybridMultilevel"/>
    <w:tmpl w:val="C1C89B3C"/>
    <w:lvl w:ilvl="0" w:tplc="73528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0AC"/>
    <w:rsid w:val="00132E57"/>
    <w:rsid w:val="005250AC"/>
    <w:rsid w:val="005C3454"/>
    <w:rsid w:val="00867825"/>
    <w:rsid w:val="00BD701D"/>
    <w:rsid w:val="00F52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1D3B36-83C4-49D8-809F-0013EC46E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0AC"/>
    <w:pPr>
      <w:spacing w:after="200" w:line="276" w:lineRule="auto"/>
    </w:pPr>
    <w:rPr>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5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C292B-0E1F-4371-822A-2879EC8D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13726</Words>
  <Characters>78242</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DKFZ</Company>
  <LinksUpToDate>false</LinksUpToDate>
  <CharactersWithSpaces>91785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Tawk, Bouchra</dc:creator>
  <cp:keywords/>
  <dc:description/>
  <cp:lastModifiedBy>Tawk, Bouchra</cp:lastModifiedBy>
  <cp:revision>1</cp:revision>
  <dcterms:created xsi:type="dcterms:W3CDTF">2025-08-01T18:54:00Z</dcterms:created>
  <dcterms:modified xsi:type="dcterms:W3CDTF">2025-08-01T18:55:00Z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1e15f600-943e-3845-a9be-b6550ad2ded9</vt:lpwstr>
  </property>
  <property fmtid="{D5CDD505-2E9C-101B-9397-08002B2CF9AE}" pid="4" name="Mendeley Citation Style_1">
    <vt:lpwstr>http://www.zotero.org/styles/radiotherapy-and-oncology</vt:lpwstr>
  </property>
</Properties>
</file>