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Light"/>
        <w:tblW w:w="7645" w:type="dxa"/>
        <w:tblLook w:val="04A0" w:firstRow="1" w:lastRow="0" w:firstColumn="1" w:lastColumn="0" w:noHBand="0" w:noVBand="1"/>
      </w:tblPr>
      <w:tblGrid>
        <w:gridCol w:w="4700"/>
        <w:gridCol w:w="2945"/>
      </w:tblGrid>
      <w:tr w:rsidR="00F5140B" w:rsidRPr="00603102" w14:paraId="441FFECC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47FB5983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Term</w:t>
            </w:r>
          </w:p>
        </w:tc>
        <w:tc>
          <w:tcPr>
            <w:tcW w:w="2945" w:type="dxa"/>
            <w:noWrap/>
            <w:hideMark/>
          </w:tcPr>
          <w:p w14:paraId="10A5CFC2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HPO</w:t>
            </w:r>
          </w:p>
        </w:tc>
      </w:tr>
      <w:tr w:rsidR="00F5140B" w:rsidRPr="00603102" w14:paraId="47A8282E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1A7EB03A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autosomal recessive inheritance</w:t>
            </w:r>
          </w:p>
        </w:tc>
        <w:tc>
          <w:tcPr>
            <w:tcW w:w="2945" w:type="dxa"/>
            <w:noWrap/>
            <w:hideMark/>
          </w:tcPr>
          <w:p w14:paraId="093B6BED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HP:0000007</w:t>
            </w:r>
          </w:p>
        </w:tc>
      </w:tr>
      <w:tr w:rsidR="00F5140B" w:rsidRPr="00603102" w14:paraId="144F2420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191A58AF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pancytopenia</w:t>
            </w:r>
          </w:p>
        </w:tc>
        <w:tc>
          <w:tcPr>
            <w:tcW w:w="2945" w:type="dxa"/>
            <w:noWrap/>
            <w:hideMark/>
          </w:tcPr>
          <w:p w14:paraId="22C9019A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HP:0001876</w:t>
            </w:r>
          </w:p>
        </w:tc>
      </w:tr>
      <w:tr w:rsidR="00F5140B" w:rsidRPr="00603102" w14:paraId="180010E7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3B29956D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thrombocytopenia</w:t>
            </w:r>
          </w:p>
        </w:tc>
        <w:tc>
          <w:tcPr>
            <w:tcW w:w="2945" w:type="dxa"/>
            <w:noWrap/>
            <w:hideMark/>
          </w:tcPr>
          <w:p w14:paraId="45563A1C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HP:0001873</w:t>
            </w:r>
          </w:p>
        </w:tc>
      </w:tr>
      <w:tr w:rsidR="00F5140B" w:rsidRPr="00603102" w14:paraId="04EE562E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55952165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anemia</w:t>
            </w:r>
          </w:p>
        </w:tc>
        <w:tc>
          <w:tcPr>
            <w:tcW w:w="2945" w:type="dxa"/>
            <w:noWrap/>
            <w:hideMark/>
          </w:tcPr>
          <w:p w14:paraId="552EF15D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HP:0001903</w:t>
            </w:r>
          </w:p>
        </w:tc>
      </w:tr>
      <w:tr w:rsidR="00F5140B" w:rsidRPr="00603102" w14:paraId="74980B81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466CCA93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 xml:space="preserve">normochromic anemia </w:t>
            </w:r>
          </w:p>
        </w:tc>
        <w:tc>
          <w:tcPr>
            <w:tcW w:w="2945" w:type="dxa"/>
            <w:noWrap/>
            <w:hideMark/>
          </w:tcPr>
          <w:p w14:paraId="56A43527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HP:0001895</w:t>
            </w:r>
          </w:p>
        </w:tc>
      </w:tr>
      <w:tr w:rsidR="00F5140B" w:rsidRPr="00603102" w14:paraId="6C21DCD0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07FE5B1D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normocytic anemia</w:t>
            </w:r>
          </w:p>
        </w:tc>
        <w:tc>
          <w:tcPr>
            <w:tcW w:w="2945" w:type="dxa"/>
            <w:noWrap/>
            <w:hideMark/>
          </w:tcPr>
          <w:p w14:paraId="43FA15C4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HP:0001897</w:t>
            </w:r>
          </w:p>
        </w:tc>
      </w:tr>
      <w:tr w:rsidR="00F5140B" w:rsidRPr="00603102" w14:paraId="1A4A8D31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6A2104E1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small for gestational age</w:t>
            </w:r>
          </w:p>
        </w:tc>
        <w:tc>
          <w:tcPr>
            <w:tcW w:w="2945" w:type="dxa"/>
            <w:noWrap/>
            <w:hideMark/>
          </w:tcPr>
          <w:p w14:paraId="0FC52C8B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HP:0001518</w:t>
            </w:r>
          </w:p>
        </w:tc>
      </w:tr>
      <w:tr w:rsidR="00F5140B" w:rsidRPr="00603102" w14:paraId="18A1E068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39174939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hydrops fetalis</w:t>
            </w:r>
          </w:p>
        </w:tc>
        <w:tc>
          <w:tcPr>
            <w:tcW w:w="2945" w:type="dxa"/>
            <w:noWrap/>
            <w:hideMark/>
          </w:tcPr>
          <w:p w14:paraId="4D60E0EE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HP:0001789</w:t>
            </w:r>
          </w:p>
        </w:tc>
      </w:tr>
      <w:tr w:rsidR="00F5140B" w:rsidRPr="00603102" w14:paraId="67A98E8F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152AB65F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edema</w:t>
            </w:r>
          </w:p>
        </w:tc>
        <w:tc>
          <w:tcPr>
            <w:tcW w:w="2945" w:type="dxa"/>
            <w:noWrap/>
            <w:hideMark/>
          </w:tcPr>
          <w:p w14:paraId="22A32405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HP:0000969</w:t>
            </w:r>
          </w:p>
        </w:tc>
      </w:tr>
      <w:tr w:rsidR="00F5140B" w:rsidRPr="00603102" w14:paraId="14EADBBC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6ECEED5F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premature skin wrinkling</w:t>
            </w:r>
          </w:p>
        </w:tc>
        <w:tc>
          <w:tcPr>
            <w:tcW w:w="2945" w:type="dxa"/>
            <w:noWrap/>
            <w:hideMark/>
          </w:tcPr>
          <w:p w14:paraId="13754528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HP:0100678</w:t>
            </w:r>
          </w:p>
        </w:tc>
      </w:tr>
      <w:tr w:rsidR="00F5140B" w:rsidRPr="00603102" w14:paraId="3A21FD8E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10FC8AB9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telangiectasia</w:t>
            </w:r>
          </w:p>
        </w:tc>
        <w:tc>
          <w:tcPr>
            <w:tcW w:w="2945" w:type="dxa"/>
            <w:noWrap/>
            <w:hideMark/>
          </w:tcPr>
          <w:p w14:paraId="4362A35D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HP:0001009</w:t>
            </w:r>
          </w:p>
        </w:tc>
      </w:tr>
      <w:tr w:rsidR="00F5140B" w:rsidRPr="00603102" w14:paraId="05FB666A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4508F119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triangular face</w:t>
            </w:r>
          </w:p>
        </w:tc>
        <w:tc>
          <w:tcPr>
            <w:tcW w:w="2945" w:type="dxa"/>
            <w:noWrap/>
            <w:hideMark/>
          </w:tcPr>
          <w:p w14:paraId="031634FC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HP:0000325</w:t>
            </w:r>
          </w:p>
        </w:tc>
      </w:tr>
      <w:tr w:rsidR="00F5140B" w:rsidRPr="00603102" w14:paraId="19E69BDA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1894B333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wide mouth</w:t>
            </w:r>
          </w:p>
        </w:tc>
        <w:tc>
          <w:tcPr>
            <w:tcW w:w="2945" w:type="dxa"/>
            <w:noWrap/>
            <w:hideMark/>
          </w:tcPr>
          <w:p w14:paraId="1BAB68F7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HP:0000154</w:t>
            </w:r>
          </w:p>
        </w:tc>
      </w:tr>
      <w:tr w:rsidR="00F5140B" w:rsidRPr="00603102" w14:paraId="68027BA7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3EF5AC83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atrial septal defect</w:t>
            </w:r>
          </w:p>
        </w:tc>
        <w:tc>
          <w:tcPr>
            <w:tcW w:w="2945" w:type="dxa"/>
            <w:noWrap/>
            <w:hideMark/>
          </w:tcPr>
          <w:p w14:paraId="71E7E328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HP:0001631</w:t>
            </w:r>
          </w:p>
        </w:tc>
      </w:tr>
      <w:tr w:rsidR="00F5140B" w:rsidRPr="00603102" w14:paraId="28B5284B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424E94C1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 xml:space="preserve">patent foramen </w:t>
            </w:r>
            <w:proofErr w:type="spellStart"/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ovale</w:t>
            </w:r>
            <w:proofErr w:type="spellEnd"/>
          </w:p>
        </w:tc>
        <w:tc>
          <w:tcPr>
            <w:tcW w:w="2945" w:type="dxa"/>
            <w:noWrap/>
            <w:hideMark/>
          </w:tcPr>
          <w:p w14:paraId="5BAD76D8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HP:0001655</w:t>
            </w:r>
          </w:p>
        </w:tc>
      </w:tr>
      <w:tr w:rsidR="00F5140B" w:rsidRPr="00603102" w14:paraId="49CC93CF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48D78755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patent ductus arteriosus</w:t>
            </w:r>
          </w:p>
        </w:tc>
        <w:tc>
          <w:tcPr>
            <w:tcW w:w="2945" w:type="dxa"/>
            <w:noWrap/>
            <w:hideMark/>
          </w:tcPr>
          <w:p w14:paraId="0F6FA9AA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HP:0001643</w:t>
            </w:r>
          </w:p>
        </w:tc>
      </w:tr>
      <w:tr w:rsidR="00F5140B" w:rsidRPr="00603102" w14:paraId="36218B08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484F36C1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coarctation of aorta</w:t>
            </w:r>
          </w:p>
        </w:tc>
        <w:tc>
          <w:tcPr>
            <w:tcW w:w="2945" w:type="dxa"/>
            <w:noWrap/>
            <w:hideMark/>
          </w:tcPr>
          <w:p w14:paraId="21F459B0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HP:0001680</w:t>
            </w:r>
          </w:p>
        </w:tc>
      </w:tr>
      <w:tr w:rsidR="00F5140B" w:rsidRPr="00603102" w14:paraId="797DD358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3FDF806E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pulmonary arterial hypertension</w:t>
            </w:r>
          </w:p>
        </w:tc>
        <w:tc>
          <w:tcPr>
            <w:tcW w:w="2945" w:type="dxa"/>
            <w:noWrap/>
            <w:hideMark/>
          </w:tcPr>
          <w:p w14:paraId="7C4EE395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HP:0002092</w:t>
            </w:r>
          </w:p>
        </w:tc>
      </w:tr>
      <w:tr w:rsidR="00F5140B" w:rsidRPr="00603102" w14:paraId="707401E6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6B21DFB6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hepatosplenomegaly</w:t>
            </w:r>
          </w:p>
        </w:tc>
        <w:tc>
          <w:tcPr>
            <w:tcW w:w="2945" w:type="dxa"/>
            <w:noWrap/>
            <w:hideMark/>
          </w:tcPr>
          <w:p w14:paraId="0D9035FE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HP:0001433</w:t>
            </w:r>
          </w:p>
        </w:tc>
      </w:tr>
      <w:tr w:rsidR="00F5140B" w:rsidRPr="00603102" w14:paraId="19136BA6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2D79D056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hepatomegaly</w:t>
            </w:r>
          </w:p>
        </w:tc>
        <w:tc>
          <w:tcPr>
            <w:tcW w:w="2945" w:type="dxa"/>
            <w:noWrap/>
            <w:hideMark/>
          </w:tcPr>
          <w:p w14:paraId="353A4FC8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HP:0002240</w:t>
            </w:r>
          </w:p>
        </w:tc>
      </w:tr>
      <w:tr w:rsidR="00F5140B" w:rsidRPr="00603102" w14:paraId="1DAEF921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1915776E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micronodular cirrhosis</w:t>
            </w:r>
          </w:p>
        </w:tc>
        <w:tc>
          <w:tcPr>
            <w:tcW w:w="2945" w:type="dxa"/>
            <w:noWrap/>
            <w:hideMark/>
          </w:tcPr>
          <w:p w14:paraId="67936C4F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HP:0001413</w:t>
            </w:r>
          </w:p>
        </w:tc>
      </w:tr>
      <w:tr w:rsidR="00F5140B" w:rsidRPr="00603102" w14:paraId="2B364C5D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5C982614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decreased liver function</w:t>
            </w:r>
          </w:p>
        </w:tc>
        <w:tc>
          <w:tcPr>
            <w:tcW w:w="2945" w:type="dxa"/>
            <w:noWrap/>
            <w:hideMark/>
          </w:tcPr>
          <w:p w14:paraId="53F9A4DB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HP:0001410</w:t>
            </w:r>
          </w:p>
        </w:tc>
      </w:tr>
      <w:tr w:rsidR="00F5140B" w:rsidRPr="00603102" w14:paraId="53685BAC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5D1C475A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hepatic fibrosis</w:t>
            </w:r>
          </w:p>
        </w:tc>
        <w:tc>
          <w:tcPr>
            <w:tcW w:w="2945" w:type="dxa"/>
            <w:noWrap/>
            <w:hideMark/>
          </w:tcPr>
          <w:p w14:paraId="20EA310C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HP:0001395</w:t>
            </w:r>
          </w:p>
        </w:tc>
      </w:tr>
      <w:tr w:rsidR="00F5140B" w:rsidRPr="00603102" w14:paraId="5CA5F3ED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6591A5CE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cirrhosis</w:t>
            </w:r>
          </w:p>
        </w:tc>
        <w:tc>
          <w:tcPr>
            <w:tcW w:w="2945" w:type="dxa"/>
            <w:noWrap/>
            <w:hideMark/>
          </w:tcPr>
          <w:p w14:paraId="1F92C540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HP:0001394</w:t>
            </w:r>
          </w:p>
        </w:tc>
      </w:tr>
      <w:tr w:rsidR="00F5140B" w:rsidRPr="00603102" w14:paraId="34AB07BA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658BB678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abnormal clitoris morphology</w:t>
            </w:r>
          </w:p>
        </w:tc>
        <w:tc>
          <w:tcPr>
            <w:tcW w:w="2945" w:type="dxa"/>
            <w:noWrap/>
            <w:hideMark/>
          </w:tcPr>
          <w:p w14:paraId="3BE3FE99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HP:0000056</w:t>
            </w:r>
          </w:p>
        </w:tc>
      </w:tr>
      <w:tr w:rsidR="00F5140B" w:rsidRPr="00603102" w14:paraId="255D0F4D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205443BD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hypergonadotropic hypogonadism</w:t>
            </w:r>
          </w:p>
        </w:tc>
        <w:tc>
          <w:tcPr>
            <w:tcW w:w="2945" w:type="dxa"/>
            <w:noWrap/>
            <w:hideMark/>
          </w:tcPr>
          <w:p w14:paraId="5BB762FB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HP:0000815</w:t>
            </w:r>
          </w:p>
        </w:tc>
      </w:tr>
      <w:tr w:rsidR="00F5140B" w:rsidRPr="00603102" w14:paraId="4A620C0E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7E20C7D3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premature ovarian insufficiency</w:t>
            </w:r>
          </w:p>
        </w:tc>
        <w:tc>
          <w:tcPr>
            <w:tcW w:w="2945" w:type="dxa"/>
            <w:noWrap/>
            <w:hideMark/>
          </w:tcPr>
          <w:p w14:paraId="4A9ED519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HP:0008209</w:t>
            </w:r>
          </w:p>
        </w:tc>
      </w:tr>
      <w:tr w:rsidR="00F5140B" w:rsidRPr="00603102" w14:paraId="00FF4E48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2E75451C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increased circulating prolactin concentration</w:t>
            </w:r>
          </w:p>
        </w:tc>
        <w:tc>
          <w:tcPr>
            <w:tcW w:w="2945" w:type="dxa"/>
            <w:noWrap/>
            <w:hideMark/>
          </w:tcPr>
          <w:p w14:paraId="63E91CB6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HP:0000870</w:t>
            </w:r>
          </w:p>
        </w:tc>
      </w:tr>
      <w:tr w:rsidR="00F5140B" w:rsidRPr="00603102" w14:paraId="4BADE122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5D6AE3AA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microphallus</w:t>
            </w:r>
          </w:p>
        </w:tc>
        <w:tc>
          <w:tcPr>
            <w:tcW w:w="2945" w:type="dxa"/>
            <w:noWrap/>
            <w:hideMark/>
          </w:tcPr>
          <w:p w14:paraId="68ACE3D9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HP:0030260</w:t>
            </w:r>
          </w:p>
        </w:tc>
      </w:tr>
      <w:tr w:rsidR="00F5140B" w:rsidRPr="00603102" w14:paraId="44E0B6FC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68A2C55E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decreased testicular size</w:t>
            </w:r>
          </w:p>
        </w:tc>
        <w:tc>
          <w:tcPr>
            <w:tcW w:w="2945" w:type="dxa"/>
            <w:noWrap/>
            <w:hideMark/>
          </w:tcPr>
          <w:p w14:paraId="477A9631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HP:0008734</w:t>
            </w:r>
          </w:p>
        </w:tc>
      </w:tr>
      <w:tr w:rsidR="00F5140B" w:rsidRPr="00603102" w14:paraId="6F2B7DBF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7BD8AB93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osteopenia</w:t>
            </w:r>
          </w:p>
        </w:tc>
        <w:tc>
          <w:tcPr>
            <w:tcW w:w="2945" w:type="dxa"/>
            <w:noWrap/>
            <w:hideMark/>
          </w:tcPr>
          <w:p w14:paraId="423B11ED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HP:0000938</w:t>
            </w:r>
          </w:p>
        </w:tc>
      </w:tr>
      <w:tr w:rsidR="00F5140B" w:rsidRPr="00603102" w14:paraId="05EB4EAE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7284019E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osteoporosis</w:t>
            </w:r>
          </w:p>
        </w:tc>
        <w:tc>
          <w:tcPr>
            <w:tcW w:w="2945" w:type="dxa"/>
            <w:noWrap/>
            <w:hideMark/>
          </w:tcPr>
          <w:p w14:paraId="4D3F068E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HP:0000939</w:t>
            </w:r>
          </w:p>
        </w:tc>
      </w:tr>
      <w:tr w:rsidR="00F5140B" w:rsidRPr="00603102" w14:paraId="3BAECEB4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2F361B90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abnormality of the kidney</w:t>
            </w:r>
          </w:p>
        </w:tc>
        <w:tc>
          <w:tcPr>
            <w:tcW w:w="2945" w:type="dxa"/>
            <w:noWrap/>
            <w:hideMark/>
          </w:tcPr>
          <w:p w14:paraId="49CC3F8D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HP:0000077</w:t>
            </w:r>
          </w:p>
        </w:tc>
      </w:tr>
      <w:tr w:rsidR="00F5140B" w:rsidRPr="00603102" w14:paraId="4127D859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3C3C97FF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focal segmental glomerulosclerosis</w:t>
            </w:r>
          </w:p>
        </w:tc>
        <w:tc>
          <w:tcPr>
            <w:tcW w:w="2945" w:type="dxa"/>
            <w:noWrap/>
            <w:hideMark/>
          </w:tcPr>
          <w:p w14:paraId="7B9FEBD9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HP:0001947</w:t>
            </w:r>
          </w:p>
        </w:tc>
      </w:tr>
      <w:tr w:rsidR="00F5140B" w:rsidRPr="00603102" w14:paraId="114C420A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30A39331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inguinal hernia</w:t>
            </w:r>
          </w:p>
        </w:tc>
        <w:tc>
          <w:tcPr>
            <w:tcW w:w="2945" w:type="dxa"/>
            <w:noWrap/>
            <w:hideMark/>
          </w:tcPr>
          <w:p w14:paraId="0E5295DF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HP:0000023</w:t>
            </w:r>
          </w:p>
        </w:tc>
      </w:tr>
      <w:tr w:rsidR="00F5140B" w:rsidRPr="00603102" w14:paraId="5E6DC7EF" w14:textId="77777777" w:rsidTr="00F5140B">
        <w:trPr>
          <w:trHeight w:val="320"/>
        </w:trPr>
        <w:tc>
          <w:tcPr>
            <w:tcW w:w="4700" w:type="dxa"/>
            <w:noWrap/>
            <w:hideMark/>
          </w:tcPr>
          <w:p w14:paraId="358E2BB0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hypotonia</w:t>
            </w:r>
          </w:p>
        </w:tc>
        <w:tc>
          <w:tcPr>
            <w:tcW w:w="2945" w:type="dxa"/>
            <w:noWrap/>
            <w:hideMark/>
          </w:tcPr>
          <w:p w14:paraId="2A2EBF4D" w14:textId="77777777" w:rsidR="00F5140B" w:rsidRPr="00BE5118" w:rsidRDefault="00F5140B" w:rsidP="00BE511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E5118">
              <w:rPr>
                <w:rFonts w:ascii="Arial" w:hAnsi="Arial" w:cs="Arial"/>
                <w:color w:val="000000"/>
                <w:sz w:val="22"/>
                <w:szCs w:val="22"/>
              </w:rPr>
              <w:t>HP:0001252</w:t>
            </w:r>
          </w:p>
        </w:tc>
      </w:tr>
    </w:tbl>
    <w:p w14:paraId="785E5851" w14:textId="53F3ACE2" w:rsidR="00852B4E" w:rsidRPr="0006783D" w:rsidRDefault="00F5140B" w:rsidP="0006783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Supplementary Table S1: HPO Terms used by the transaldolase deficiency characterization</w:t>
      </w:r>
      <w:r w:rsidR="0006783D">
        <w:rPr>
          <w:rFonts w:ascii="Arial" w:hAnsi="Arial" w:cs="Arial"/>
        </w:rPr>
        <w:t xml:space="preserve">; </w:t>
      </w:r>
      <w:r w:rsidR="0006783D" w:rsidRPr="0006783D">
        <w:rPr>
          <w:rFonts w:ascii="Arial" w:hAnsi="Arial" w:cs="Arial"/>
        </w:rPr>
        <w:t>HPO</w:t>
      </w:r>
      <w:r w:rsidR="0006783D">
        <w:rPr>
          <w:rFonts w:ascii="Arial" w:hAnsi="Arial" w:cs="Arial"/>
        </w:rPr>
        <w:t>:</w:t>
      </w:r>
      <w:r w:rsidR="0006783D" w:rsidRPr="0006783D">
        <w:rPr>
          <w:rFonts w:ascii="Arial" w:hAnsi="Arial" w:cs="Arial"/>
        </w:rPr>
        <w:t xml:space="preserve"> human phenotype </w:t>
      </w:r>
      <w:r w:rsidR="0006783D" w:rsidRPr="0006783D">
        <w:rPr>
          <w:rFonts w:ascii="Arial" w:hAnsi="Arial" w:cs="Arial"/>
        </w:rPr>
        <w:t>ontology</w:t>
      </w:r>
      <w:r w:rsidR="0006783D" w:rsidRPr="0006783D">
        <w:rPr>
          <w:rFonts w:ascii="Arial" w:hAnsi="Arial" w:cs="Arial"/>
        </w:rPr>
        <w:t>.</w:t>
      </w:r>
    </w:p>
    <w:sectPr w:rsidR="00852B4E" w:rsidRPr="0006783D" w:rsidSect="00F5140B">
      <w:pgSz w:w="12240" w:h="15840"/>
      <w:pgMar w:top="1440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40B"/>
    <w:rsid w:val="0006783D"/>
    <w:rsid w:val="000741B5"/>
    <w:rsid w:val="000A5D81"/>
    <w:rsid w:val="000C7E8A"/>
    <w:rsid w:val="000E350A"/>
    <w:rsid w:val="00125A0D"/>
    <w:rsid w:val="00156A25"/>
    <w:rsid w:val="00161BEA"/>
    <w:rsid w:val="002103F9"/>
    <w:rsid w:val="00252C0A"/>
    <w:rsid w:val="002924E4"/>
    <w:rsid w:val="002A5EDB"/>
    <w:rsid w:val="00324C18"/>
    <w:rsid w:val="003B60D8"/>
    <w:rsid w:val="004143D1"/>
    <w:rsid w:val="00415B74"/>
    <w:rsid w:val="00514D97"/>
    <w:rsid w:val="0053026F"/>
    <w:rsid w:val="006832A3"/>
    <w:rsid w:val="00713B16"/>
    <w:rsid w:val="00714DCD"/>
    <w:rsid w:val="008068B6"/>
    <w:rsid w:val="008355CE"/>
    <w:rsid w:val="00852B4E"/>
    <w:rsid w:val="00864800"/>
    <w:rsid w:val="008E048A"/>
    <w:rsid w:val="008F30C8"/>
    <w:rsid w:val="0092053A"/>
    <w:rsid w:val="009644A6"/>
    <w:rsid w:val="00AE09DB"/>
    <w:rsid w:val="00B00F80"/>
    <w:rsid w:val="00B2714C"/>
    <w:rsid w:val="00B3695D"/>
    <w:rsid w:val="00BA70B3"/>
    <w:rsid w:val="00BB4908"/>
    <w:rsid w:val="00BF01A6"/>
    <w:rsid w:val="00BF1B83"/>
    <w:rsid w:val="00C032F6"/>
    <w:rsid w:val="00C44A41"/>
    <w:rsid w:val="00C55944"/>
    <w:rsid w:val="00CC637C"/>
    <w:rsid w:val="00CD1B5E"/>
    <w:rsid w:val="00D10F78"/>
    <w:rsid w:val="00D26E22"/>
    <w:rsid w:val="00D30036"/>
    <w:rsid w:val="00D839E0"/>
    <w:rsid w:val="00DE06FA"/>
    <w:rsid w:val="00DE5036"/>
    <w:rsid w:val="00E4611C"/>
    <w:rsid w:val="00E77E1C"/>
    <w:rsid w:val="00EF6555"/>
    <w:rsid w:val="00F04A40"/>
    <w:rsid w:val="00F25B75"/>
    <w:rsid w:val="00F47BE4"/>
    <w:rsid w:val="00F5140B"/>
    <w:rsid w:val="00F87BD6"/>
    <w:rsid w:val="00FA46DA"/>
    <w:rsid w:val="00FB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75275F0"/>
  <w15:chartTrackingRefBased/>
  <w15:docId w15:val="{029295F1-B986-AD42-AEA5-B3AAAB7A0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40B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140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140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140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140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140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140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140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140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140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14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14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14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14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14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14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14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14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14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14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514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140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514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140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514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140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514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4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4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140B"/>
    <w:rPr>
      <w:b/>
      <w:bCs/>
      <w:smallCaps/>
      <w:color w:val="0F4761" w:themeColor="accent1" w:themeShade="BF"/>
      <w:spacing w:val="5"/>
    </w:rPr>
  </w:style>
  <w:style w:type="table" w:styleId="TableGridLight">
    <w:name w:val="Grid Table Light"/>
    <w:basedOn w:val="TableNormal"/>
    <w:uiPriority w:val="40"/>
    <w:rsid w:val="00F5140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F51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Viktória Horváth</dc:creator>
  <cp:keywords/>
  <dc:description/>
  <cp:lastModifiedBy>Viktória Horváth</cp:lastModifiedBy>
  <cp:revision>2</cp:revision>
  <dcterms:created xsi:type="dcterms:W3CDTF">2025-12-17T09:40:00Z</dcterms:created>
  <dcterms:modified xsi:type="dcterms:W3CDTF">2025-12-22T11:26:00Z</dcterms:modified>
</cp:coreProperties>
</file>