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6AC377B" wp14:paraId="7EC7F79C" wp14:textId="56601066">
      <w:pPr>
        <w:spacing w:line="240" w:lineRule="auto"/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Supplementary Figures</w:t>
      </w:r>
    </w:p>
    <w:p xmlns:wp14="http://schemas.microsoft.com/office/word/2010/wordml" w:rsidP="16AC377B" wp14:paraId="30D80850" wp14:textId="680C1715">
      <w:pPr>
        <w:spacing w:line="240" w:lineRule="auto"/>
        <w:jc w:val="center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6008294E">
        <w:drawing>
          <wp:inline xmlns:wp14="http://schemas.microsoft.com/office/word/2010/wordprocessingDrawing" wp14:editId="117E99C2" wp14:anchorId="1218E463">
            <wp:extent cx="6019800" cy="3352800"/>
            <wp:effectExtent l="0" t="0" r="0" b="0"/>
            <wp:docPr id="7448764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44876410" name="Picture 744876410"/>
                    <pic:cNvPicPr/>
                  </pic:nvPicPr>
                  <pic:blipFill>
                    <a:blip xmlns:r="http://schemas.openxmlformats.org/officeDocument/2006/relationships" r:embed="rId19954889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75830BD6" wp14:textId="10B463A1">
      <w:pPr>
        <w:spacing w:line="240" w:lineRule="auto"/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Supplementary Figure S1. Comparison between maximum amplitude projection (MAP) analysis and the depth-selective analysis on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by MiROM. (a, b)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MAP and depth-selective OA micrograph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at 2856 and 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channel. Depth-selective OA micrograph pixel intensity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represents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area under the curve of the Absolute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Abs.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 of the OA analytic signal within the selected depths.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(c, e)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Box plot showing the MAD at 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. Asterisks (****) denote the level of statistical significance (P&lt;0.0001) analyzed by a two-sample t-test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(d, f)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Abs. of OA analytic signal from 2856 and 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d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f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). The red box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indicates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time window (82.5~90 µm), which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contains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depth of interest (MAD at 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; width: 7.5 µm).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(g, h)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Contrast line profiles, white line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from 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MAP OA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micrographs in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g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MAP OA micrograph,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h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MAP OA micrograph).</w:t>
      </w:r>
    </w:p>
    <w:p xmlns:wp14="http://schemas.microsoft.com/office/word/2010/wordml" w:rsidP="16AC377B" wp14:paraId="1B3F67D8" wp14:textId="60B37E02">
      <w:pPr>
        <w:spacing w:line="24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16AC377B" wp14:paraId="07E7C8F0" wp14:textId="6C1A366E">
      <w:pPr>
        <w:spacing w:line="240" w:lineRule="auto"/>
        <w:jc w:val="center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6008294E">
        <w:drawing>
          <wp:inline xmlns:wp14="http://schemas.microsoft.com/office/word/2010/wordprocessingDrawing" wp14:editId="28CCA304" wp14:anchorId="2EBFE270">
            <wp:extent cx="6019800" cy="6381750"/>
            <wp:effectExtent l="0" t="0" r="0" b="0"/>
            <wp:docPr id="11135830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13583020" name="Picture 1113583020"/>
                    <pic:cNvPicPr/>
                  </pic:nvPicPr>
                  <pic:blipFill>
                    <a:blip xmlns:r="http://schemas.openxmlformats.org/officeDocument/2006/relationships" r:embed="rId3945062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509A6B24" wp14:textId="6C6BD543">
      <w:pPr>
        <w:spacing w:after="200" w:line="240" w:lineRule="auto"/>
        <w:jc w:val="both"/>
        <w:rPr>
          <w:rFonts w:ascii="Helvetica" w:hAnsi="Helvetica" w:eastAsia="Helvetica" w:cs="Helvetic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Supplementary Figure S2. Intensity threshold-based masking results and adipocyte diameter and adipocyte density (adipocyte count per unit area) calculation at depth-selective OA micrograph. (a)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Depth-selective OA micrograph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weeks 2-6 at 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channel.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(b)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Intensity threshold-based masking results of depth-selective OA micrographs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weeks 2-6 at 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channel. Lateral segmentation based on intensity thresholding highlights the location of adipocytes.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(c)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Adipocyte segmentation produced by Cell Profiler 4.0 at selected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regions of interest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ROI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(d)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 adipocyte size from ROI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weeks 2-6 (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N = 7 mice for each tissue type;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at postnatal weeks 2-6: N = 5 mice for each tissue type) with error bars indicating SD.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(e, f)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 and SD of adipocyte diameter and adipocyte count per unit area (mm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2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weeks 2-6.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d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, for two group tissue comparisons (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), unpaired two-sample t-tests were used; for comparisons across postnatal weeks, using one-way ANOVA with Bonferroni-corrected post-hoc tests was used (see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Methods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Statistical Analysis). </w:t>
      </w:r>
    </w:p>
    <w:p xmlns:wp14="http://schemas.microsoft.com/office/word/2010/wordml" w:rsidP="16AC377B" wp14:paraId="1FCF6683" wp14:textId="6119897A">
      <w:pPr>
        <w:spacing w:line="24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16AC377B" wp14:paraId="18B2187D" wp14:textId="19E8AD91">
      <w:pPr>
        <w:spacing w:line="24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16AC377B" wp14:paraId="68886E30" wp14:textId="2B95DCB5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6008294E">
        <w:drawing>
          <wp:inline xmlns:wp14="http://schemas.microsoft.com/office/word/2010/wordprocessingDrawing" wp14:editId="7129BE80" wp14:anchorId="37523D94">
            <wp:extent cx="6019800" cy="4610100"/>
            <wp:effectExtent l="0" t="0" r="0" b="0"/>
            <wp:docPr id="143578104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35781048" name="Picture 1435781048"/>
                    <pic:cNvPicPr/>
                  </pic:nvPicPr>
                  <pic:blipFill>
                    <a:blip xmlns:r="http://schemas.openxmlformats.org/officeDocument/2006/relationships" r:embed="rId13886148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75F76674" wp14:textId="2C7504DD">
      <w:pPr>
        <w:spacing w:after="200" w:line="240" w:lineRule="auto"/>
        <w:jc w:val="both"/>
        <w:rPr>
          <w:rFonts w:ascii="Helvetica" w:hAnsi="Helvetica" w:eastAsia="Helvetica" w:cs="Helvetic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Supplementary Figure S3. Biological validation of uncoupling protein 1 (UCP1) levels and morphological changes of adipocytes are transiently elevated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during postnatal development. (a)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Protein was isolated from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during postnatal weeks 2-6. Immunoblots were stained against UCP1 (Abcam, ab23841) and beta-Actin (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Proteintech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66009-1-Ig).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(b)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Histological sections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from postnatal weeks 2-6 stained with hematoxylin and eosin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H&amp;E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 and depicted at 40x magnification. All sections were captured near the LN present in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to ensure comparability between histological sections and MiROM measurements.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(c)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panel depicts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from postnatal weeks 2-6. Each image is a stitched optical section captured with a 5x objective. Each column depicts one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sample with its autofluorescence in grey, an immunolabel against UCP1 in red, and their composite. The LN of each tissue is marked by *.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(d)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Correlation between mean NBAT score and mean UCP1 fluorescence intensity. Mean NBAT score obtained from all independent measurements (Week 2: N = 2 mice; Week 3-6: N = 3 mice) and mean UCP fluorescence intensity obtained from the matched immunofluorescence images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. </w:t>
      </w:r>
    </w:p>
    <w:p xmlns:wp14="http://schemas.microsoft.com/office/word/2010/wordml" w:rsidP="16AC377B" wp14:paraId="4804DCA1" wp14:textId="28D848F8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="6008294E">
        <w:drawing>
          <wp:inline xmlns:wp14="http://schemas.microsoft.com/office/word/2010/wordprocessingDrawing" wp14:editId="40BC57A1" wp14:anchorId="7BA59D09">
            <wp:extent cx="6019800" cy="2705100"/>
            <wp:effectExtent l="0" t="0" r="0" b="0"/>
            <wp:docPr id="7639662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3966261" name="Picture 763966261"/>
                    <pic:cNvPicPr/>
                  </pic:nvPicPr>
                  <pic:blipFill>
                    <a:blip xmlns:r="http://schemas.openxmlformats.org/officeDocument/2006/relationships" r:embed="rId16243865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58161E5F" wp14:textId="06167A4C">
      <w:pPr>
        <w:shd w:val="clear" w:color="auto" w:fill="FFFFFF" w:themeFill="background1"/>
        <w:spacing w:before="0" w:beforeAutospacing="off" w:after="160" w:afterAutospacing="off"/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Supplementary Figure S4. Tile-based spatial heterogeneity of Q-SAT NWAT and NBAT score maps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2-6. (a)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Representative Q-SAT score overlays (NWAT score in lime green, NBAT score in magenta) reconstructed as 200</w:t>
      </w:r>
    </w:p>
    <w:p xmlns:wp14="http://schemas.microsoft.com/office/word/2010/wordml" w:rsidP="16AC377B" wp14:paraId="3400B89A" wp14:textId="6B4E289F">
      <w:pPr>
        <w:shd w:val="clear" w:color="auto" w:fill="FFFFFF" w:themeFill="background1"/>
        <w:spacing w:before="0" w:beforeAutospacing="off" w:after="0" w:afterAutospacing="off"/>
      </w:pPr>
      <w:r w:rsidRPr="16AC377B" w:rsidR="6008294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>×</w:t>
      </w:r>
      <w:r w:rsidRPr="16AC377B" w:rsidR="6008294E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x-iv_mathan"/>
        </w:rPr>
        <w:t>×</w:t>
      </w:r>
    </w:p>
    <w:p xmlns:wp14="http://schemas.microsoft.com/office/word/2010/wordml" w:rsidP="16AC377B" wp14:paraId="0F508A5F" wp14:textId="34F7AD22">
      <w:pPr>
        <w:shd w:val="clear" w:color="auto" w:fill="FFFFFF" w:themeFill="background1"/>
        <w:spacing w:before="0" w:beforeAutospacing="off" w:after="0" w:afterAutospacing="off"/>
      </w:pP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200 maps and divided into a 10</w:t>
      </w:r>
    </w:p>
    <w:p xmlns:wp14="http://schemas.microsoft.com/office/word/2010/wordml" w:rsidP="16AC377B" wp14:paraId="3866EF94" wp14:textId="5C7128EB">
      <w:pPr>
        <w:shd w:val="clear" w:color="auto" w:fill="FFFFFF" w:themeFill="background1"/>
        <w:spacing w:before="0" w:beforeAutospacing="off" w:after="0" w:afterAutospacing="off"/>
      </w:pPr>
      <w:r w:rsidRPr="16AC377B" w:rsidR="6008294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>×</w:t>
      </w:r>
      <w:r w:rsidRPr="16AC377B" w:rsidR="6008294E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x-iv_mathan"/>
        </w:rPr>
        <w:t>×</w:t>
      </w:r>
    </w:p>
    <w:p xmlns:wp14="http://schemas.microsoft.com/office/word/2010/wordml" w:rsidP="16AC377B" wp14:paraId="1F0CB5C9" wp14:textId="594798A1">
      <w:pPr>
        <w:shd w:val="clear" w:color="auto" w:fill="FFFFFF" w:themeFill="background1"/>
        <w:spacing w:before="0" w:beforeAutospacing="off" w:after="0" w:afterAutospacing="off"/>
      </w:pP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10 grid (dashed white lines; 20</w:t>
      </w:r>
    </w:p>
    <w:p xmlns:wp14="http://schemas.microsoft.com/office/word/2010/wordml" w:rsidP="16AC377B" wp14:paraId="29AD7C72" wp14:textId="2CE32360">
      <w:pPr>
        <w:shd w:val="clear" w:color="auto" w:fill="FFFFFF" w:themeFill="background1"/>
        <w:spacing w:before="0" w:beforeAutospacing="off" w:after="0" w:afterAutospacing="off"/>
      </w:pPr>
      <w:r w:rsidRPr="16AC377B" w:rsidR="6008294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>×</w:t>
      </w:r>
      <w:r w:rsidRPr="16AC377B" w:rsidR="6008294E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x-iv_mathan"/>
        </w:rPr>
        <w:t>×</w:t>
      </w:r>
    </w:p>
    <w:p xmlns:wp14="http://schemas.microsoft.com/office/word/2010/wordml" w:rsidP="16AC377B" wp14:paraId="2402AA03" wp14:textId="29A735AA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20 pixels per tile) to quantify regional variation in phenotype scores.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(b, c)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Coefficient of variation (CV) of tile-mean scores computed separately for NWAT (left, green squares) and NBAT (right, magenta circles) across postnatal weeks (computed from micrographs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a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. Higher CV indicates greater patchiness (regional enrichment), whereas lower CV indicates a more spatially homogeneous distribution of the corresponding phenotype score.</w:t>
      </w:r>
    </w:p>
    <w:p xmlns:wp14="http://schemas.microsoft.com/office/word/2010/wordml" w:rsidP="16AC377B" wp14:paraId="09E4C288" wp14:textId="27B83C68">
      <w:pPr>
        <w:spacing w:line="24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16AC377B" wp14:paraId="19BF0E81" wp14:textId="1B532ADA">
      <w:pPr>
        <w:spacing w:line="240" w:lineRule="auto"/>
        <w:jc w:val="center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6008294E">
        <w:drawing>
          <wp:inline xmlns:wp14="http://schemas.microsoft.com/office/word/2010/wordprocessingDrawing" wp14:editId="43B06754" wp14:anchorId="24E933BD">
            <wp:extent cx="5410200" cy="5010150"/>
            <wp:effectExtent l="0" t="0" r="0" b="0"/>
            <wp:docPr id="100182597" name="drawing" title="Ein Bild, das Diagramm, Text, Screenshot enthält.&#10;&#10;KI-generierte Inhalte können fehlerhaft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0182597" name="Picture 100182597"/>
                    <pic:cNvPicPr/>
                  </pic:nvPicPr>
                  <pic:blipFill>
                    <a:blip xmlns:r="http://schemas.openxmlformats.org/officeDocument/2006/relationships" r:embed="rId12767008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563BA4FC" wp14:textId="17978B2F">
      <w:pPr>
        <w:spacing w:line="240" w:lineRule="auto"/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Supplementary Figure S5. Comparing 10-wavenumber-based quantitative spatial analysis of adipose tissue with a 2-wavenumber-based approach. (a)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10-wavenumber-based digital scoring map of inguinal white adipose tissue (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 samples during postnatal development. The scores reflect spectral features associated with white adipose tissue (WAT) and brown adipose tissue (BAT). The marked areas highlight connective tissue for comparison with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d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(b-c),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 normalized WAT and BAT (NWAT, NBAT) scores for the tissue images shown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a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. The error bars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represent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standard deviation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c,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Explain.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d,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2-wavenumber-based digital scoring map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samples during postnatal development.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(e-f)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 normalized WAT and BAT (NWAT, NBAT) scores for the tissue images shown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d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.</w:t>
      </w:r>
    </w:p>
    <w:p xmlns:wp14="http://schemas.microsoft.com/office/word/2010/wordml" w:rsidP="16AC377B" wp14:paraId="6F5F9811" wp14:textId="73840B9B">
      <w:pPr>
        <w:spacing w:line="24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16AC377B" wp14:paraId="57967429" wp14:textId="61D4EB64">
      <w:pPr>
        <w:spacing w:line="240" w:lineRule="auto"/>
        <w:jc w:val="center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6008294E">
        <w:drawing>
          <wp:inline xmlns:wp14="http://schemas.microsoft.com/office/word/2010/wordprocessingDrawing" wp14:editId="0868181D" wp14:anchorId="4F8A3AAC">
            <wp:extent cx="5410200" cy="6286500"/>
            <wp:effectExtent l="0" t="0" r="0" b="0"/>
            <wp:docPr id="545990436" name="drawing" title="A collage of graphs and diagrams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45990436" name="Picture 545990436"/>
                    <pic:cNvPicPr/>
                  </pic:nvPicPr>
                  <pic:blipFill>
                    <a:blip xmlns:r="http://schemas.openxmlformats.org/officeDocument/2006/relationships" r:embed="rId289206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6C68C59B" wp14:textId="551FAC21">
      <w:pPr>
        <w:spacing w:line="240" w:lineRule="auto"/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Supplementary Figure S6. Quantitative spatial analysis model interpretation. (a-c)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Shapley Additive Explanations (SHAP) for pixel-wise segmentation of white adipose tissue (WAT), brown adipose tissue (BAT), and connective tissue.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(d-f)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Feature importance given by the mean absolute SHAP value for pixel-wise segmentation of WAT, BAT, and connective tissue.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(g)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Receiver operating characteristic (ROC) for tissue analysis based on the full wavelength set. The area under the ROC curve is given in the legend.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(h)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ROC for tissue analysis based on two-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wavelength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,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ROC for tissue analysis based on two-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wavelength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(990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1238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).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(j-l),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Digitally stained tissues using the full wavelength set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j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 and the two-wavelength-based approaches, i.e., using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k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990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1238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l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). Exemplary segmentation of connective tissue is visualized in all images for comparison.</w:t>
      </w:r>
    </w:p>
    <w:p xmlns:wp14="http://schemas.microsoft.com/office/word/2010/wordml" w:rsidP="16AC377B" wp14:paraId="572DEEB0" wp14:textId="4FB5B359">
      <w:pPr>
        <w:spacing w:line="24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16AC377B" wp14:paraId="1956AE47" wp14:textId="033D4C65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="6008294E">
        <w:drawing>
          <wp:inline xmlns:wp14="http://schemas.microsoft.com/office/word/2010/wordprocessingDrawing" wp14:editId="3A4C2AAC" wp14:anchorId="3D11BB86">
            <wp:extent cx="6019800" cy="4533900"/>
            <wp:effectExtent l="0" t="0" r="0" b="0"/>
            <wp:docPr id="133007440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0074405" name="Picture 1330074405"/>
                    <pic:cNvPicPr/>
                  </pic:nvPicPr>
                  <pic:blipFill>
                    <a:blip xmlns:r="http://schemas.openxmlformats.org/officeDocument/2006/relationships" r:embed="rId14712966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2651B0AB" wp14:textId="25088CF9">
      <w:pPr>
        <w:shd w:val="clear" w:color="auto" w:fill="FFFFFF" w:themeFill="background1"/>
        <w:spacing w:before="0" w:beforeAutospacing="off" w:after="160" w:afterAutospacing="off"/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Supplementary Figure S7. Descriptive summaries of overall adipocyte size, MiROM OA contrast, and Q-SAT NWAT and NBAT scores of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2-6. (a)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Mean adipocyte diameter in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postnatal week 2-6.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(b, c)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 OA contrast at 2856 and 1550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digitally isolated adipocyte area in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(c, d)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 NWAT and NBAT scores in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2-6, obtained from Q-SAT. Results are based on overall adipocyte size, OA contrast, NWAT&amp;NBAT scores from every cell or pixel per tissue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types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.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a, b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each data point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represents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mean value per tissue type (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: N = 7 mice per tissue type;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Week 2-6: N = 5 mice per postnatal week). In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c, d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each point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represents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mean value per postnatal week (Week 2: N = 2 mice; Week 3-6: N = 3 mice). The error bars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indicate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mean</w:t>
      </w:r>
    </w:p>
    <w:p xmlns:wp14="http://schemas.microsoft.com/office/word/2010/wordml" w:rsidP="16AC377B" wp14:paraId="68CC45BB" wp14:textId="58971E0C">
      <w:pPr>
        <w:shd w:val="clear" w:color="auto" w:fill="FFFFFF" w:themeFill="background1"/>
        <w:spacing w:before="0" w:beforeAutospacing="off" w:after="0" w:afterAutospacing="off"/>
      </w:pPr>
      <w:r w:rsidRPr="16AC377B" w:rsidR="6008294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>±</w:t>
      </w:r>
      <w:r w:rsidRPr="16AC377B" w:rsidR="6008294E">
        <w:rPr>
          <w:rFonts w:ascii="Cambria Math" w:hAnsi="Cambria Math" w:eastAsia="Cambria Math" w:cs="Cambria Math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x-iv_mathan"/>
        </w:rPr>
        <w:t>±</w:t>
      </w:r>
    </w:p>
    <w:p xmlns:wp14="http://schemas.microsoft.com/office/word/2010/wordml" w:rsidP="16AC377B" wp14:paraId="55DEFB25" wp14:textId="3EFC7AE3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SD.</w:t>
      </w:r>
    </w:p>
    <w:p xmlns:wp14="http://schemas.microsoft.com/office/word/2010/wordml" w:rsidP="16AC377B" wp14:paraId="44ADE1B0" wp14:textId="1ADF8C20">
      <w:pPr>
        <w:spacing w:line="240" w:lineRule="auto"/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6AC377B" wp14:paraId="094584E1" wp14:textId="59BDBCA0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6008294E">
        <w:drawing>
          <wp:inline xmlns:wp14="http://schemas.microsoft.com/office/word/2010/wordprocessingDrawing" wp14:editId="446B35C6" wp14:anchorId="540E9733">
            <wp:extent cx="6019800" cy="4514850"/>
            <wp:effectExtent l="0" t="0" r="0" b="0"/>
            <wp:docPr id="7294340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2943406" name="Picture 72943406"/>
                    <pic:cNvPicPr/>
                  </pic:nvPicPr>
                  <pic:blipFill>
                    <a:blip xmlns:r="http://schemas.openxmlformats.org/officeDocument/2006/relationships" r:embed="rId11364662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C377B" wp14:paraId="1E69C682" wp14:textId="1FD88661">
      <w:pPr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Supplementary Figure S8. OA spectra of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2-6. (a)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Representative micrographs at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2856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IBAT,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 with randomly selected spectral acquired points (near the center of adipocytes) marked by red dots. </w:t>
      </w:r>
      <w:r w:rsidRPr="16AC377B" w:rsidR="6008294E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(b, c)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Depth-selective OA spectra of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of postnatal week 2-6 for the entire spectral range of QCL (2932-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909 cm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-1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). The mean spectra (solid line) and their SD (shaded area) are shown for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(resulting spectra from 771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eWAT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adipocytes and 745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iBAT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adipocytes – 7 mice per tissue type), and 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iWAT</w:t>
      </w:r>
      <w:r w:rsidRPr="16AC377B" w:rsidR="6008294E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(resulting spectrum from 525 adipocytes of Week 2, 525 adipocytes of Week 3, 537 adipocytes of Week 4, 535 adipocytes of Week 5, and 525 adipocytes of Week 6 – 5 mice per postnatal week).</w:t>
      </w:r>
    </w:p>
    <w:p xmlns:wp14="http://schemas.microsoft.com/office/word/2010/wordml" w:rsidP="16AC377B" wp14:paraId="57A63302" wp14:textId="20D1C6E4">
      <w:pPr>
        <w:spacing w:line="240" w:lineRule="auto"/>
        <w:jc w:val="both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7983DFE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E629F5"/>
    <w:rsid w:val="16AC377B"/>
    <w:rsid w:val="35F8AF58"/>
    <w:rsid w:val="4FE629F5"/>
    <w:rsid w:val="6008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7CAD"/>
  <w15:chartTrackingRefBased/>
  <w15:docId w15:val="{0A68102C-94B6-4975-A261-F35E92108D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995488953" /><Relationship Type="http://schemas.openxmlformats.org/officeDocument/2006/relationships/image" Target="/media/image2.png" Id="rId394506281" /><Relationship Type="http://schemas.openxmlformats.org/officeDocument/2006/relationships/image" Target="/media/image3.png" Id="rId1388614834" /><Relationship Type="http://schemas.openxmlformats.org/officeDocument/2006/relationships/image" Target="/media/image4.png" Id="rId1624386581" /><Relationship Type="http://schemas.openxmlformats.org/officeDocument/2006/relationships/image" Target="/media/image5.png" Id="rId1276700868" /><Relationship Type="http://schemas.openxmlformats.org/officeDocument/2006/relationships/image" Target="/media/image6.png" Id="rId28920662" /><Relationship Type="http://schemas.openxmlformats.org/officeDocument/2006/relationships/image" Target="/media/image7.png" Id="rId1471296691" /><Relationship Type="http://schemas.openxmlformats.org/officeDocument/2006/relationships/image" Target="/media/image8.png" Id="rId113646620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2026-02-20T17:54:22.3939308Z</dcterms:created>
  <dcterms:modified xsi:type="dcterms:W3CDTF">2026-02-20T17:55:13.8463035Z</dcterms:modified>
  <dc:creator>Singh, Drishtant -</dc:creator>
  <lastModifiedBy>Singh, Drishtant -</lastModifiedBy>
</coreProperties>
</file>