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jc w:val="center"/>
        <w:rPr>
          <w:rFonts w:ascii="Arial" w:eastAsia="Arial" w:hAnsi="Arial" w:cs="Arial"/>
          <w:b/>
          <w:bCs/>
          <w:sz w:val="24"/>
          <w:szCs w:val="24"/>
        </w:rPr>
      </w:pPr>
      <w:r>
        <w:rPr>
          <w:rFonts w:ascii="Arial" w:eastAsia="Arial" w:hAnsi="Arial" w:cs="Arial"/>
          <w:b/>
          <w:bCs/>
          <w:sz w:val="24"/>
          <w:szCs w:val="24"/>
        </w:rPr>
        <w:t xml:space="preserve">Organ-specific terpenoid responses in </w:t>
      </w:r>
      <w:r>
        <w:rPr>
          <w:rFonts w:ascii="Arial" w:eastAsia="Arial" w:hAnsi="Arial" w:cs="Arial"/>
          <w:b/>
          <w:bCs/>
          <w:i/>
          <w:sz w:val="24"/>
          <w:szCs w:val="24"/>
        </w:rPr>
        <w:t>Tanacetum vulgare</w:t>
      </w:r>
      <w:r>
        <w:rPr>
          <w:rFonts w:ascii="Arial" w:eastAsia="Arial" w:hAnsi="Arial" w:cs="Arial"/>
          <w:b/>
          <w:bCs/>
          <w:sz w:val="24"/>
          <w:szCs w:val="24"/>
        </w:rPr>
        <w:t xml:space="preserve"> are chemotype-dependent</w:t>
      </w:r>
    </w:p>
    <w:p>
      <w:pPr>
        <w:shd w:val="clear" w:color="auto" w:fill="FFFFFF" w:themeFill="background1"/>
        <w:spacing w:line="480" w:lineRule="auto"/>
        <w:jc w:val="both"/>
        <w:rPr>
          <w:rFonts w:ascii="Arial" w:eastAsia="Arial" w:hAnsi="Arial" w:cs="Arial"/>
          <w:sz w:val="24"/>
          <w:szCs w:val="24"/>
        </w:rPr>
      </w:pPr>
      <w:r>
        <w:rPr>
          <w:rFonts w:ascii="Arial" w:eastAsia="Arial" w:hAnsi="Arial" w:cs="Arial"/>
          <w:sz w:val="24"/>
          <w:szCs w:val="24"/>
        </w:rPr>
        <w:t>Humay Newrzella</w:t>
      </w:r>
      <w:r>
        <w:rPr>
          <w:rFonts w:ascii="Arial" w:eastAsia="Arial" w:hAnsi="Arial" w:cs="Arial"/>
          <w:sz w:val="24"/>
          <w:szCs w:val="24"/>
          <w:vertAlign w:val="superscript"/>
        </w:rPr>
        <w:t>1</w:t>
      </w:r>
      <w:r>
        <w:rPr>
          <w:rFonts w:ascii="Arial" w:eastAsia="Arial" w:hAnsi="Arial" w:cs="Arial"/>
          <w:sz w:val="24"/>
          <w:szCs w:val="24"/>
        </w:rPr>
        <w:t>, Robin Heinen</w:t>
      </w:r>
      <w:r>
        <w:rPr>
          <w:rFonts w:ascii="Arial" w:eastAsia="Arial" w:hAnsi="Arial" w:cs="Arial"/>
          <w:sz w:val="24"/>
          <w:szCs w:val="24"/>
          <w:vertAlign w:val="superscript"/>
        </w:rPr>
        <w:t>2</w:t>
      </w:r>
      <w:r>
        <w:rPr>
          <w:rFonts w:ascii="Arial" w:eastAsia="Arial" w:hAnsi="Arial" w:cs="Arial"/>
          <w:sz w:val="24"/>
          <w:szCs w:val="24"/>
        </w:rPr>
        <w:t xml:space="preserve">, Cecilia </w:t>
      </w:r>
      <w:proofErr w:type="spellStart"/>
      <w:r>
        <w:rPr>
          <w:rFonts w:ascii="Arial" w:eastAsia="Arial" w:hAnsi="Arial" w:cs="Arial"/>
          <w:sz w:val="24"/>
          <w:szCs w:val="24"/>
        </w:rPr>
        <w:t>Manjón</w:t>
      </w:r>
      <w:proofErr w:type="spellEnd"/>
      <w:r>
        <w:rPr>
          <w:rFonts w:ascii="Arial" w:eastAsia="Arial" w:hAnsi="Arial" w:cs="Arial"/>
          <w:sz w:val="24"/>
          <w:szCs w:val="24"/>
        </w:rPr>
        <w:t xml:space="preserve"> Villasante</w:t>
      </w:r>
      <w:r>
        <w:rPr>
          <w:rFonts w:ascii="Arial" w:eastAsia="Arial" w:hAnsi="Arial" w:cs="Arial"/>
          <w:sz w:val="24"/>
          <w:szCs w:val="24"/>
          <w:vertAlign w:val="superscript"/>
        </w:rPr>
        <w:t>1</w:t>
      </w:r>
      <w:r>
        <w:rPr>
          <w:rFonts w:ascii="Arial" w:eastAsia="Arial" w:hAnsi="Arial" w:cs="Arial"/>
          <w:sz w:val="24"/>
          <w:szCs w:val="24"/>
        </w:rPr>
        <w:t>, Ina Zimmer</w:t>
      </w:r>
      <w:r>
        <w:rPr>
          <w:rFonts w:ascii="Arial" w:eastAsia="Arial" w:hAnsi="Arial" w:cs="Arial"/>
          <w:sz w:val="24"/>
          <w:szCs w:val="24"/>
          <w:vertAlign w:val="superscript"/>
        </w:rPr>
        <w:t>1</w:t>
      </w:r>
      <w:r>
        <w:rPr>
          <w:rFonts w:ascii="Arial" w:eastAsia="Arial" w:hAnsi="Arial" w:cs="Arial"/>
          <w:sz w:val="24"/>
          <w:szCs w:val="24"/>
        </w:rPr>
        <w:t>, Baris Weber</w:t>
      </w:r>
      <w:r>
        <w:rPr>
          <w:rFonts w:ascii="Arial" w:eastAsia="Arial" w:hAnsi="Arial" w:cs="Arial"/>
          <w:sz w:val="24"/>
          <w:szCs w:val="24"/>
          <w:vertAlign w:val="superscript"/>
        </w:rPr>
        <w:t>1</w:t>
      </w:r>
      <w:r>
        <w:rPr>
          <w:rFonts w:ascii="Arial" w:eastAsia="Arial" w:hAnsi="Arial" w:cs="Arial"/>
          <w:sz w:val="24"/>
          <w:szCs w:val="24"/>
        </w:rPr>
        <w:t>, Peter Kary</w:t>
      </w:r>
      <w:r>
        <w:rPr>
          <w:rFonts w:ascii="Arial" w:eastAsia="Arial" w:hAnsi="Arial" w:cs="Arial"/>
          <w:sz w:val="24"/>
          <w:szCs w:val="24"/>
          <w:vertAlign w:val="superscript"/>
        </w:rPr>
        <w:t>1</w:t>
      </w:r>
      <w:r>
        <w:rPr>
          <w:rFonts w:ascii="Arial" w:eastAsia="Arial" w:hAnsi="Arial" w:cs="Arial"/>
          <w:sz w:val="24"/>
          <w:szCs w:val="24"/>
        </w:rPr>
        <w:t>, Georg Gerl</w:t>
      </w:r>
      <w:r>
        <w:rPr>
          <w:rFonts w:ascii="Arial" w:eastAsia="Arial" w:hAnsi="Arial" w:cs="Arial"/>
          <w:sz w:val="24"/>
          <w:szCs w:val="24"/>
          <w:vertAlign w:val="superscript"/>
        </w:rPr>
        <w:t>1</w:t>
      </w:r>
      <w:r>
        <w:rPr>
          <w:rFonts w:ascii="Arial" w:eastAsia="Arial" w:hAnsi="Arial" w:cs="Arial"/>
          <w:sz w:val="24"/>
          <w:szCs w:val="24"/>
        </w:rPr>
        <w:t>, Annika Neuhaus</w:t>
      </w:r>
      <w:r>
        <w:rPr>
          <w:rFonts w:ascii="Arial" w:eastAsia="Arial" w:hAnsi="Arial" w:cs="Arial"/>
          <w:sz w:val="24"/>
          <w:szCs w:val="24"/>
          <w:vertAlign w:val="superscript"/>
        </w:rPr>
        <w:t>2</w:t>
      </w:r>
      <w:r>
        <w:rPr>
          <w:rFonts w:ascii="Arial" w:eastAsia="Arial" w:hAnsi="Arial" w:cs="Arial"/>
          <w:sz w:val="24"/>
          <w:szCs w:val="24"/>
        </w:rPr>
        <w:t>, Alexandros Sigalas</w:t>
      </w:r>
      <w:r>
        <w:rPr>
          <w:rFonts w:ascii="Arial" w:eastAsia="Arial" w:hAnsi="Arial" w:cs="Arial"/>
          <w:sz w:val="24"/>
          <w:szCs w:val="24"/>
          <w:vertAlign w:val="superscript"/>
        </w:rPr>
        <w:t>1</w:t>
      </w:r>
      <w:r>
        <w:rPr>
          <w:rFonts w:ascii="Arial" w:eastAsia="Arial" w:hAnsi="Arial" w:cs="Arial"/>
          <w:sz w:val="24"/>
          <w:szCs w:val="24"/>
        </w:rPr>
        <w:t>, Lina Ojeda-Prieto</w:t>
      </w:r>
      <w:r>
        <w:rPr>
          <w:rFonts w:ascii="Arial" w:eastAsia="Arial" w:hAnsi="Arial" w:cs="Arial"/>
          <w:sz w:val="24"/>
          <w:szCs w:val="24"/>
          <w:vertAlign w:val="superscript"/>
        </w:rPr>
        <w:t>2,3,4</w:t>
      </w:r>
      <w:r>
        <w:rPr>
          <w:rFonts w:ascii="Arial" w:eastAsia="Arial" w:hAnsi="Arial" w:cs="Arial"/>
          <w:sz w:val="24"/>
          <w:szCs w:val="24"/>
        </w:rPr>
        <w:t>, Jana Barbro Winkler</w:t>
      </w:r>
      <w:r>
        <w:rPr>
          <w:rFonts w:ascii="Arial" w:eastAsia="Arial" w:hAnsi="Arial" w:cs="Arial"/>
          <w:sz w:val="24"/>
          <w:szCs w:val="24"/>
          <w:vertAlign w:val="superscript"/>
        </w:rPr>
        <w:t>1</w:t>
      </w:r>
      <w:r>
        <w:rPr>
          <w:rFonts w:ascii="Arial" w:eastAsia="Arial" w:hAnsi="Arial" w:cs="Arial"/>
          <w:sz w:val="24"/>
          <w:szCs w:val="24"/>
        </w:rPr>
        <w:t>, Wolfgang W. Weisser</w:t>
      </w:r>
      <w:r>
        <w:rPr>
          <w:rFonts w:ascii="Arial" w:eastAsia="Arial" w:hAnsi="Arial" w:cs="Arial"/>
          <w:sz w:val="24"/>
          <w:szCs w:val="24"/>
          <w:vertAlign w:val="superscript"/>
        </w:rPr>
        <w:t>2</w:t>
      </w:r>
      <w:r>
        <w:rPr>
          <w:rFonts w:ascii="Arial" w:eastAsia="Arial" w:hAnsi="Arial" w:cs="Arial"/>
          <w:sz w:val="24"/>
          <w:szCs w:val="24"/>
        </w:rPr>
        <w:t>, Jörg-Peter Schnitzler</w:t>
      </w:r>
      <w:r>
        <w:rPr>
          <w:rFonts w:ascii="Arial" w:eastAsia="Arial" w:hAnsi="Arial" w:cs="Arial"/>
          <w:sz w:val="24"/>
          <w:szCs w:val="24"/>
          <w:vertAlign w:val="superscript"/>
        </w:rPr>
        <w:t>1,5*</w:t>
      </w:r>
    </w:p>
    <w:p>
      <w:pPr>
        <w:shd w:val="clear" w:color="auto" w:fill="FFFFFF" w:themeFill="background1"/>
        <w:spacing w:after="0" w:line="276" w:lineRule="auto"/>
        <w:jc w:val="both"/>
        <w:rPr>
          <w:rFonts w:ascii="Arial" w:eastAsia="Arial" w:hAnsi="Arial" w:cs="Arial"/>
          <w:sz w:val="20"/>
          <w:szCs w:val="20"/>
        </w:rPr>
      </w:pPr>
      <w:r>
        <w:rPr>
          <w:rFonts w:ascii="Arial" w:eastAsia="Arial" w:hAnsi="Arial" w:cs="Arial"/>
          <w:sz w:val="20"/>
          <w:szCs w:val="20"/>
          <w:vertAlign w:val="superscript"/>
        </w:rPr>
        <w:t>1</w:t>
      </w:r>
      <w:r>
        <w:rPr>
          <w:rFonts w:ascii="Arial" w:eastAsia="Arial" w:hAnsi="Arial" w:cs="Arial"/>
          <w:sz w:val="20"/>
          <w:szCs w:val="20"/>
        </w:rPr>
        <w:t xml:space="preserve">Research Unit Environmental Simulation, Helmholtz Munich, D-85764 </w:t>
      </w:r>
      <w:proofErr w:type="spellStart"/>
      <w:r>
        <w:rPr>
          <w:rFonts w:ascii="Arial" w:eastAsia="Arial" w:hAnsi="Arial" w:cs="Arial"/>
          <w:sz w:val="20"/>
          <w:szCs w:val="20"/>
        </w:rPr>
        <w:t>Neuherberg</w:t>
      </w:r>
      <w:proofErr w:type="spellEnd"/>
      <w:r>
        <w:rPr>
          <w:rFonts w:ascii="Arial" w:eastAsia="Arial" w:hAnsi="Arial" w:cs="Arial"/>
          <w:sz w:val="20"/>
          <w:szCs w:val="20"/>
        </w:rPr>
        <w:t>, Germany</w:t>
      </w:r>
    </w:p>
    <w:p>
      <w:pPr>
        <w:shd w:val="clear" w:color="auto" w:fill="FFFFFF" w:themeFill="background1"/>
        <w:spacing w:after="0" w:line="276" w:lineRule="auto"/>
        <w:jc w:val="both"/>
        <w:rPr>
          <w:rFonts w:ascii="Arial" w:eastAsia="Arial" w:hAnsi="Arial" w:cs="Arial"/>
          <w:sz w:val="20"/>
          <w:szCs w:val="20"/>
        </w:rPr>
      </w:pPr>
      <w:r>
        <w:rPr>
          <w:rFonts w:ascii="Arial" w:eastAsia="Arial" w:hAnsi="Arial" w:cs="Arial"/>
          <w:sz w:val="20"/>
          <w:szCs w:val="20"/>
          <w:vertAlign w:val="superscript"/>
        </w:rPr>
        <w:t>2</w:t>
      </w:r>
      <w:r>
        <w:rPr>
          <w:rFonts w:ascii="Arial" w:eastAsia="Arial" w:hAnsi="Arial" w:cs="Arial"/>
          <w:sz w:val="20"/>
          <w:szCs w:val="20"/>
        </w:rPr>
        <w:t>Terrestrial Ecology Research Group, Department of Life Science Systems, School of Life Sciences, Technical University of Munich, D-85354 Freising, Germany</w:t>
      </w:r>
    </w:p>
    <w:p>
      <w:pPr>
        <w:shd w:val="clear" w:color="auto" w:fill="FFFFFF" w:themeFill="background1"/>
        <w:spacing w:after="0" w:line="276" w:lineRule="auto"/>
        <w:jc w:val="both"/>
        <w:rPr>
          <w:rFonts w:ascii="Arial" w:eastAsia="Arial" w:hAnsi="Arial" w:cs="Arial"/>
          <w:sz w:val="20"/>
          <w:szCs w:val="20"/>
        </w:rPr>
      </w:pPr>
      <w:r>
        <w:rPr>
          <w:rFonts w:ascii="Arial" w:eastAsia="Arial" w:hAnsi="Arial" w:cs="Arial"/>
          <w:sz w:val="20"/>
          <w:szCs w:val="20"/>
          <w:vertAlign w:val="superscript"/>
        </w:rPr>
        <w:t>3</w:t>
      </w:r>
      <w:r>
        <w:rPr>
          <w:rFonts w:ascii="Arial" w:eastAsia="Arial" w:hAnsi="Arial" w:cs="Arial"/>
          <w:sz w:val="20"/>
          <w:szCs w:val="20"/>
        </w:rPr>
        <w:t>Animal Ecology, Institute of Biochemistry and Biology, University of Potsdam</w:t>
      </w:r>
    </w:p>
    <w:p>
      <w:pPr>
        <w:shd w:val="clear" w:color="auto" w:fill="FFFFFF" w:themeFill="background1"/>
        <w:spacing w:after="0" w:line="276" w:lineRule="auto"/>
        <w:jc w:val="both"/>
        <w:rPr>
          <w:rFonts w:ascii="Arial" w:eastAsia="Arial" w:hAnsi="Arial" w:cs="Arial"/>
          <w:sz w:val="20"/>
          <w:szCs w:val="20"/>
        </w:rPr>
      </w:pPr>
      <w:r>
        <w:rPr>
          <w:rFonts w:ascii="Arial" w:eastAsia="Arial" w:hAnsi="Arial" w:cs="Arial"/>
          <w:sz w:val="20"/>
          <w:szCs w:val="20"/>
          <w:vertAlign w:val="superscript"/>
        </w:rPr>
        <w:t>4</w:t>
      </w:r>
      <w:r>
        <w:rPr>
          <w:rFonts w:ascii="Arial" w:eastAsia="Arial" w:hAnsi="Arial" w:cs="Arial"/>
          <w:sz w:val="20"/>
          <w:szCs w:val="20"/>
        </w:rPr>
        <w:t>Biodiversity Research/Systematic Botany Group, Institute of Biochemistry and Biology, University of Potsdam</w:t>
      </w:r>
    </w:p>
    <w:p>
      <w:pPr>
        <w:shd w:val="clear" w:color="auto" w:fill="FFFFFF" w:themeFill="background1"/>
        <w:spacing w:after="0" w:line="276"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vertAlign w:val="superscript"/>
        </w:rPr>
        <w:t>5</w:t>
      </w:r>
      <w:r>
        <w:rPr>
          <w:rFonts w:ascii="Arial" w:hAnsi="Arial" w:cs="Arial"/>
          <w:color w:val="000000" w:themeColor="text1"/>
          <w:sz w:val="20"/>
          <w:szCs w:val="20"/>
        </w:rPr>
        <w:t>Ecosystem Physiology, Faculty of Environment and Natural Resources, University Freiburg, D-79110 Freiburg, Germany</w:t>
      </w:r>
    </w:p>
    <w:p>
      <w:pPr>
        <w:spacing w:after="0" w:line="276" w:lineRule="auto"/>
        <w:rPr>
          <w:rFonts w:ascii="Arial" w:eastAsia="Arial" w:hAnsi="Arial" w:cs="Arial"/>
          <w:sz w:val="20"/>
          <w:szCs w:val="20"/>
        </w:rPr>
      </w:pPr>
    </w:p>
    <w:p>
      <w:pPr>
        <w:rPr>
          <w:rFonts w:ascii="Arial" w:eastAsia="Calibri" w:hAnsi="Arial" w:cs="Arial"/>
          <w:sz w:val="24"/>
          <w:szCs w:val="24"/>
        </w:rPr>
      </w:pPr>
      <w:r>
        <w:rPr>
          <w:rFonts w:ascii="Arial" w:eastAsia="Arial" w:hAnsi="Arial" w:cs="Arial"/>
          <w:sz w:val="24"/>
          <w:szCs w:val="24"/>
        </w:rPr>
        <w:br w:type="page"/>
      </w:r>
    </w:p>
    <w:p>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b/>
          <w:bCs/>
        </w:rPr>
        <w:lastRenderedPageBreak/>
        <w:t>Supplementary Materials</w:t>
      </w:r>
      <w:r>
        <w:rPr>
          <w:rStyle w:val="eop"/>
          <w:rFonts w:ascii="Arial" w:hAnsi="Arial" w:cs="Arial"/>
        </w:rPr>
        <w:t> </w:t>
      </w:r>
    </w:p>
    <w:p>
      <w:pPr>
        <w:pStyle w:val="paragraph"/>
        <w:spacing w:before="0" w:beforeAutospacing="0" w:after="0" w:afterAutospacing="0"/>
        <w:jc w:val="both"/>
        <w:textAlignment w:val="baseline"/>
        <w:rPr>
          <w:rFonts w:ascii="Segoe UI" w:hAnsi="Segoe UI" w:cs="Segoe UI"/>
          <w:sz w:val="18"/>
          <w:szCs w:val="18"/>
        </w:rPr>
      </w:pPr>
    </w:p>
    <w:p>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r>
        <w:rPr>
          <w:rFonts w:ascii="Segoe UI" w:hAnsi="Segoe UI" w:cs="Segoe UI"/>
          <w:noProof/>
          <w:sz w:val="18"/>
          <w:szCs w:val="18"/>
        </w:rPr>
        <w:drawing>
          <wp:inline distT="0" distB="0" distL="0" distR="0">
            <wp:extent cx="6068428" cy="3193087"/>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erimental design.png"/>
                    <pic:cNvPicPr/>
                  </pic:nvPicPr>
                  <pic:blipFill>
                    <a:blip r:embed="rId5">
                      <a:extLst>
                        <a:ext uri="{28A0092B-C50C-407E-A947-70E740481C1C}">
                          <a14:useLocalDpi xmlns:a14="http://schemas.microsoft.com/office/drawing/2010/main" val="0"/>
                        </a:ext>
                      </a:extLst>
                    </a:blip>
                    <a:stretch>
                      <a:fillRect/>
                    </a:stretch>
                  </pic:blipFill>
                  <pic:spPr>
                    <a:xfrm>
                      <a:off x="0" y="0"/>
                      <a:ext cx="6068428" cy="3193087"/>
                    </a:xfrm>
                    <a:prstGeom prst="rect">
                      <a:avLst/>
                    </a:prstGeom>
                  </pic:spPr>
                </pic:pic>
              </a:graphicData>
            </a:graphic>
          </wp:inline>
        </w:drawing>
      </w:r>
    </w:p>
    <w:p>
      <w:pPr>
        <w:pStyle w:val="paragraph"/>
        <w:spacing w:line="276" w:lineRule="auto"/>
        <w:jc w:val="both"/>
        <w:textAlignment w:val="baseline"/>
        <w:rPr>
          <w:rFonts w:ascii="Arial" w:hAnsi="Arial" w:cs="Arial"/>
        </w:rPr>
      </w:pPr>
      <w:r>
        <w:rPr>
          <w:rFonts w:ascii="Arial" w:hAnsi="Arial" w:cs="Arial"/>
          <w:b/>
          <w:bCs/>
        </w:rPr>
        <w:t xml:space="preserve">Figure S1: </w:t>
      </w:r>
      <w:r>
        <w:rPr>
          <w:rFonts w:ascii="Arial" w:hAnsi="Arial" w:cs="Arial"/>
          <w:bCs/>
        </w:rPr>
        <w:t>Treatment t</w:t>
      </w:r>
      <w:r>
        <w:rPr>
          <w:rFonts w:ascii="Arial" w:hAnsi="Arial" w:cs="Arial"/>
        </w:rPr>
        <w:t>imeline of the tansy greenhouse experiment. Each horizontal bar represents one treatment: an unmanipulated control, wireworm only, aphid only, and wireworm &amp; aphid groups. During the initial stabilization phase of the plants, all plants were maintained under identical conditions. Green segments show the establishment period (Day of year, 285–313), orange segments the wireworm phase (started on day 313), and blue segments the aphid phase (started on day 325). The experiment ended on day 347.</w:t>
      </w:r>
    </w:p>
    <w:p>
      <w:pPr>
        <w:pStyle w:val="paragraph"/>
        <w:spacing w:line="276" w:lineRule="auto"/>
        <w:jc w:val="both"/>
        <w:textAlignment w:val="baseline"/>
        <w:rPr>
          <w:rFonts w:ascii="Arial" w:hAnsi="Arial" w:cs="Arial"/>
          <w:b/>
          <w:bCs/>
        </w:rPr>
      </w:pPr>
    </w:p>
    <w:p>
      <w:pPr>
        <w:pStyle w:val="paragraph"/>
        <w:spacing w:before="0" w:beforeAutospacing="0" w:after="0" w:afterAutospacing="0"/>
        <w:jc w:val="both"/>
        <w:textAlignment w:val="baseline"/>
        <w:rPr>
          <w:rStyle w:val="eop"/>
          <w:rFonts w:ascii="Arial" w:hAnsi="Arial" w:cs="Arial"/>
        </w:rPr>
      </w:pPr>
    </w:p>
    <w:p>
      <w:pPr>
        <w:pStyle w:val="paragraph"/>
        <w:spacing w:before="0" w:beforeAutospacing="0" w:after="0" w:afterAutospacing="0"/>
        <w:jc w:val="both"/>
        <w:textAlignment w:val="baseline"/>
        <w:rPr>
          <w:rStyle w:val="eop"/>
          <w:rFonts w:ascii="Arial" w:hAnsi="Arial" w:cs="Arial"/>
        </w:rPr>
      </w:pPr>
    </w:p>
    <w:p>
      <w:pPr>
        <w:pStyle w:val="paragraph"/>
        <w:spacing w:line="276" w:lineRule="auto"/>
        <w:jc w:val="both"/>
        <w:textAlignment w:val="baseline"/>
        <w:rPr>
          <w:rFonts w:ascii="Arial" w:hAnsi="Arial" w:cs="Arial"/>
        </w:rPr>
      </w:pPr>
    </w:p>
    <w:p>
      <w:pPr>
        <w:pStyle w:val="paragraph"/>
        <w:spacing w:line="276" w:lineRule="auto"/>
        <w:jc w:val="both"/>
        <w:textAlignment w:val="baseline"/>
        <w:rPr>
          <w:rFonts w:ascii="Arial" w:hAnsi="Arial" w:cs="Arial"/>
        </w:rPr>
      </w:pPr>
      <w:r>
        <w:rPr>
          <w:rFonts w:ascii="Arial" w:hAnsi="Arial" w:cs="Arial"/>
          <w:noProof/>
        </w:rPr>
        <w:lastRenderedPageBreak/>
        <w:drawing>
          <wp:inline distT="0" distB="0" distL="0" distR="0">
            <wp:extent cx="5337821" cy="47868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S4.png"/>
                    <pic:cNvPicPr/>
                  </pic:nvPicPr>
                  <pic:blipFill>
                    <a:blip r:embed="rId6">
                      <a:extLst>
                        <a:ext uri="{28A0092B-C50C-407E-A947-70E740481C1C}">
                          <a14:useLocalDpi xmlns:a14="http://schemas.microsoft.com/office/drawing/2010/main" val="0"/>
                        </a:ext>
                      </a:extLst>
                    </a:blip>
                    <a:stretch>
                      <a:fillRect/>
                    </a:stretch>
                  </pic:blipFill>
                  <pic:spPr>
                    <a:xfrm>
                      <a:off x="0" y="0"/>
                      <a:ext cx="5337821" cy="4786893"/>
                    </a:xfrm>
                    <a:prstGeom prst="rect">
                      <a:avLst/>
                    </a:prstGeom>
                  </pic:spPr>
                </pic:pic>
              </a:graphicData>
            </a:graphic>
          </wp:inline>
        </w:drawing>
      </w:r>
    </w:p>
    <w:p>
      <w:pPr>
        <w:spacing w:beforeAutospacing="1" w:afterAutospacing="1" w:line="240" w:lineRule="auto"/>
        <w:jc w:val="both"/>
        <w:textAlignment w:val="baseline"/>
        <w:rPr>
          <w:rFonts w:ascii="Arial" w:eastAsia="Arial" w:hAnsi="Arial" w:cs="Arial"/>
          <w:color w:val="70AD47" w:themeColor="accent6"/>
          <w:sz w:val="24"/>
          <w:szCs w:val="24"/>
        </w:rPr>
      </w:pPr>
      <w:r>
        <w:rPr>
          <w:rFonts w:ascii="Arial" w:eastAsiaTheme="minorEastAsia" w:hAnsi="Arial" w:cs="Arial"/>
          <w:b/>
          <w:sz w:val="24"/>
          <w:szCs w:val="24"/>
        </w:rPr>
        <w:t>Figure S</w:t>
      </w:r>
      <w:r>
        <w:rPr>
          <w:rFonts w:ascii="Arial" w:eastAsia="Arial" w:hAnsi="Arial" w:cs="Arial"/>
          <w:b/>
          <w:sz w:val="24"/>
          <w:szCs w:val="24"/>
        </w:rPr>
        <w:t xml:space="preserve">2. </w:t>
      </w:r>
      <w:r>
        <w:rPr>
          <w:rFonts w:ascii="Arial" w:eastAsiaTheme="minorEastAsia" w:hAnsi="Arial" w:cs="Arial"/>
          <w:sz w:val="24"/>
          <w:szCs w:val="24"/>
        </w:rPr>
        <w:t xml:space="preserve">Boxplots of the log-transformed total concentration of stored root </w:t>
      </w:r>
      <w:proofErr w:type="spellStart"/>
      <w:r>
        <w:rPr>
          <w:rFonts w:ascii="Arial" w:eastAsiaTheme="minorEastAsia" w:hAnsi="Arial" w:cs="Arial"/>
          <w:sz w:val="24"/>
          <w:szCs w:val="24"/>
        </w:rPr>
        <w:t>monoterpenoids</w:t>
      </w:r>
      <w:proofErr w:type="spellEnd"/>
      <w:r>
        <w:rPr>
          <w:rFonts w:ascii="Arial" w:eastAsiaTheme="minorEastAsia" w:hAnsi="Arial" w:cs="Arial"/>
          <w:sz w:val="24"/>
          <w:szCs w:val="24"/>
        </w:rPr>
        <w:t xml:space="preserve"> (MT) in Control vs Worm-treated plants. Worm-treated roots had higher </w:t>
      </w:r>
      <w:proofErr w:type="spellStart"/>
      <w:r>
        <w:rPr>
          <w:rFonts w:ascii="Arial" w:eastAsiaTheme="minorEastAsia" w:hAnsi="Arial" w:cs="Arial"/>
          <w:sz w:val="24"/>
          <w:szCs w:val="24"/>
        </w:rPr>
        <w:t>monoterpenoids</w:t>
      </w:r>
      <w:proofErr w:type="spellEnd"/>
      <w:r>
        <w:rPr>
          <w:rFonts w:ascii="Arial" w:eastAsiaTheme="minorEastAsia" w:hAnsi="Arial" w:cs="Arial"/>
          <w:sz w:val="24"/>
          <w:szCs w:val="24"/>
        </w:rPr>
        <w:t xml:space="preserve"> than controls (Type III ANOVA on full model: Worm effect F = 14.62, p = 0.001). </w:t>
      </w:r>
      <w:r>
        <w:rPr>
          <w:rFonts w:ascii="Arial" w:eastAsia="Arial" w:hAnsi="Arial" w:cs="Arial"/>
          <w:color w:val="70AD47" w:themeColor="accent6"/>
          <w:sz w:val="24"/>
          <w:szCs w:val="24"/>
        </w:rPr>
        <w:t xml:space="preserve">Significance </w:t>
      </w:r>
      <w:proofErr w:type="gramStart"/>
      <w:r>
        <w:rPr>
          <w:rFonts w:ascii="Arial" w:eastAsia="Arial" w:hAnsi="Arial" w:cs="Arial"/>
          <w:color w:val="70AD47" w:themeColor="accent6"/>
          <w:sz w:val="24"/>
          <w:szCs w:val="24"/>
        </w:rPr>
        <w:t>is indicated</w:t>
      </w:r>
      <w:proofErr w:type="gramEnd"/>
      <w:r>
        <w:rPr>
          <w:rFonts w:ascii="Arial" w:eastAsia="Arial" w:hAnsi="Arial" w:cs="Arial"/>
          <w:color w:val="70AD47" w:themeColor="accent6"/>
          <w:sz w:val="24"/>
          <w:szCs w:val="24"/>
        </w:rPr>
        <w:t xml:space="preserve"> in the panel using asterisks. Positive sample counts per treatment: Control 9, Worm 19.</w:t>
      </w:r>
    </w:p>
    <w:p>
      <w:pPr>
        <w:rPr>
          <w:rFonts w:ascii="Arial" w:hAnsi="Arial" w:cs="Arial"/>
        </w:rPr>
      </w:pPr>
      <w:r>
        <w:rPr>
          <w:rFonts w:ascii="Arial" w:hAnsi="Arial" w:cs="Arial"/>
          <w:noProof/>
        </w:rPr>
        <w:lastRenderedPageBreak/>
        <w:drawing>
          <wp:inline distT="0" distB="0" distL="0" distR="0">
            <wp:extent cx="5618999" cy="4866904"/>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S5.png"/>
                    <pic:cNvPicPr/>
                  </pic:nvPicPr>
                  <pic:blipFill>
                    <a:blip r:embed="rId7">
                      <a:extLst>
                        <a:ext uri="{28A0092B-C50C-407E-A947-70E740481C1C}">
                          <a14:useLocalDpi xmlns:a14="http://schemas.microsoft.com/office/drawing/2010/main" val="0"/>
                        </a:ext>
                      </a:extLst>
                    </a:blip>
                    <a:stretch>
                      <a:fillRect/>
                    </a:stretch>
                  </pic:blipFill>
                  <pic:spPr>
                    <a:xfrm>
                      <a:off x="0" y="0"/>
                      <a:ext cx="5618999" cy="4866904"/>
                    </a:xfrm>
                    <a:prstGeom prst="rect">
                      <a:avLst/>
                    </a:prstGeom>
                  </pic:spPr>
                </pic:pic>
              </a:graphicData>
            </a:graphic>
          </wp:inline>
        </w:drawing>
      </w:r>
    </w:p>
    <w:p>
      <w:pPr>
        <w:spacing w:line="240" w:lineRule="auto"/>
        <w:jc w:val="both"/>
        <w:rPr>
          <w:rFonts w:ascii="Arial" w:eastAsia="Times New Roman" w:hAnsi="Arial" w:cs="Arial"/>
          <w:b/>
          <w:color w:val="70AD47" w:themeColor="accent6"/>
          <w:sz w:val="24"/>
          <w:szCs w:val="24"/>
        </w:rPr>
      </w:pPr>
      <w:r>
        <w:rPr>
          <w:rFonts w:ascii="Arial" w:eastAsia="Times New Roman" w:hAnsi="Arial" w:cs="Arial"/>
          <w:b/>
          <w:sz w:val="24"/>
          <w:szCs w:val="24"/>
        </w:rPr>
        <w:t xml:space="preserve">Figure S3. </w:t>
      </w:r>
      <w:r>
        <w:rPr>
          <w:rFonts w:ascii="Arial" w:eastAsia="Times New Roman" w:hAnsi="Arial" w:cs="Arial"/>
          <w:sz w:val="24"/>
          <w:szCs w:val="24"/>
        </w:rPr>
        <w:t xml:space="preserve">Distribution of total concentration of stored root </w:t>
      </w:r>
      <w:proofErr w:type="spellStart"/>
      <w:r>
        <w:rPr>
          <w:rFonts w:ascii="Arial" w:eastAsia="Times New Roman" w:hAnsi="Arial" w:cs="Arial"/>
          <w:sz w:val="24"/>
          <w:szCs w:val="24"/>
        </w:rPr>
        <w:t>sesquiterpenoids</w:t>
      </w:r>
      <w:proofErr w:type="spellEnd"/>
      <w:r>
        <w:rPr>
          <w:rFonts w:ascii="Arial" w:eastAsia="Times New Roman" w:hAnsi="Arial" w:cs="Arial"/>
          <w:sz w:val="24"/>
          <w:szCs w:val="24"/>
        </w:rPr>
        <w:t xml:space="preserve"> (ST) across mildew infection levels. Boxplots show values (y-axis on a log scale) for plants with none, mild and high mildew infection. </w:t>
      </w:r>
      <w:r>
        <w:rPr>
          <w:rFonts w:ascii="Arial" w:eastAsia="Times New Roman" w:hAnsi="Arial" w:cs="Arial"/>
          <w:color w:val="70AD47" w:themeColor="accent6"/>
          <w:sz w:val="24"/>
          <w:szCs w:val="24"/>
        </w:rPr>
        <w:t xml:space="preserve">The overall mildew effect was significant in the full model (Type III ANOVA: F = 5.84, p = 0.020). Positive sample counts by infection level </w:t>
      </w:r>
      <w:proofErr w:type="gramStart"/>
      <w:r>
        <w:rPr>
          <w:rFonts w:ascii="Arial" w:eastAsia="Times New Roman" w:hAnsi="Arial" w:cs="Arial"/>
          <w:color w:val="70AD47" w:themeColor="accent6"/>
          <w:sz w:val="24"/>
          <w:szCs w:val="24"/>
        </w:rPr>
        <w:t>were:</w:t>
      </w:r>
      <w:proofErr w:type="gramEnd"/>
      <w:r>
        <w:rPr>
          <w:rFonts w:ascii="Arial" w:eastAsia="Times New Roman" w:hAnsi="Arial" w:cs="Arial"/>
          <w:color w:val="70AD47" w:themeColor="accent6"/>
          <w:sz w:val="24"/>
          <w:szCs w:val="24"/>
        </w:rPr>
        <w:t xml:space="preserve"> none 37, mild 11, high 10.</w:t>
      </w:r>
    </w:p>
    <w:p>
      <w:pPr>
        <w:jc w:val="both"/>
        <w:rPr>
          <w:rFonts w:ascii="Arial" w:eastAsia="Times New Roman" w:hAnsi="Arial" w:cs="Arial"/>
          <w:b/>
          <w:sz w:val="24"/>
          <w:szCs w:val="24"/>
        </w:rPr>
      </w:pPr>
      <w:r>
        <w:rPr>
          <w:rFonts w:ascii="Arial" w:hAnsi="Arial" w:cs="Arial"/>
        </w:rPr>
        <w:br w:type="page"/>
      </w:r>
    </w:p>
    <w:p>
      <w:pPr>
        <w:pStyle w:val="paragraph"/>
        <w:spacing w:line="276" w:lineRule="auto"/>
        <w:jc w:val="both"/>
        <w:rPr>
          <w:rFonts w:ascii="Arial" w:hAnsi="Arial" w:cs="Arial"/>
        </w:rPr>
      </w:pPr>
      <w:r>
        <w:rPr>
          <w:rFonts w:ascii="Arial" w:hAnsi="Arial" w:cs="Arial"/>
          <w:noProof/>
        </w:rPr>
        <w:lastRenderedPageBreak/>
        <w:drawing>
          <wp:inline distT="0" distB="0" distL="0" distR="0">
            <wp:extent cx="5216688" cy="6830038"/>
            <wp:effectExtent l="0" t="0" r="317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_Blocks-stacked.png"/>
                    <pic:cNvPicPr/>
                  </pic:nvPicPr>
                  <pic:blipFill>
                    <a:blip r:embed="rId8">
                      <a:extLst>
                        <a:ext uri="{28A0092B-C50C-407E-A947-70E740481C1C}">
                          <a14:useLocalDpi xmlns:a14="http://schemas.microsoft.com/office/drawing/2010/main" val="0"/>
                        </a:ext>
                      </a:extLst>
                    </a:blip>
                    <a:stretch>
                      <a:fillRect/>
                    </a:stretch>
                  </pic:blipFill>
                  <pic:spPr>
                    <a:xfrm>
                      <a:off x="0" y="0"/>
                      <a:ext cx="5216688" cy="6830038"/>
                    </a:xfrm>
                    <a:prstGeom prst="rect">
                      <a:avLst/>
                    </a:prstGeom>
                  </pic:spPr>
                </pic:pic>
              </a:graphicData>
            </a:graphic>
          </wp:inline>
        </w:drawing>
      </w:r>
    </w:p>
    <w:p>
      <w:pPr>
        <w:pStyle w:val="paragraph"/>
        <w:spacing w:line="276" w:lineRule="auto"/>
        <w:jc w:val="both"/>
        <w:textAlignment w:val="baseline"/>
        <w:rPr>
          <w:rFonts w:ascii="Arial" w:hAnsi="Arial" w:cs="Arial"/>
        </w:rPr>
      </w:pPr>
      <w:r>
        <w:rPr>
          <w:rFonts w:ascii="Arial" w:hAnsi="Arial" w:cs="Arial"/>
          <w:b/>
        </w:rPr>
        <w:t xml:space="preserve">Figure S4. </w:t>
      </w:r>
      <w:r>
        <w:rPr>
          <w:rFonts w:ascii="Arial" w:hAnsi="Arial" w:cs="Arial"/>
        </w:rPr>
        <w:t>Relative abundance of stored root sesquiterpenoids in each building block. Block 1 is mostly dominated by β-</w:t>
      </w:r>
      <w:proofErr w:type="spellStart"/>
      <w:r>
        <w:rPr>
          <w:rFonts w:ascii="Arial" w:hAnsi="Arial" w:cs="Arial"/>
        </w:rPr>
        <w:t>Sesquiphellandrene</w:t>
      </w:r>
      <w:proofErr w:type="spellEnd"/>
      <w:r>
        <w:rPr>
          <w:rFonts w:ascii="Arial" w:hAnsi="Arial" w:cs="Arial"/>
        </w:rPr>
        <w:t xml:space="preserve">, Block 2 by </w:t>
      </w:r>
      <w:proofErr w:type="spellStart"/>
      <w:r>
        <w:rPr>
          <w:rFonts w:ascii="Arial" w:hAnsi="Arial" w:cs="Arial"/>
        </w:rPr>
        <w:t>Albene</w:t>
      </w:r>
      <w:proofErr w:type="spellEnd"/>
      <w:r>
        <w:rPr>
          <w:rFonts w:ascii="Arial" w:hAnsi="Arial" w:cs="Arial"/>
        </w:rPr>
        <w:t>, Block 3 by α- and β-</w:t>
      </w:r>
      <w:proofErr w:type="spellStart"/>
      <w:r>
        <w:rPr>
          <w:rFonts w:ascii="Arial" w:hAnsi="Arial" w:cs="Arial"/>
        </w:rPr>
        <w:t>Isocomene</w:t>
      </w:r>
      <w:proofErr w:type="spellEnd"/>
      <w:r>
        <w:rPr>
          <w:rFonts w:ascii="Arial" w:hAnsi="Arial" w:cs="Arial"/>
        </w:rPr>
        <w:t>, and Block 4 by cis-β-</w:t>
      </w:r>
      <w:proofErr w:type="spellStart"/>
      <w:r>
        <w:rPr>
          <w:rFonts w:ascii="Arial" w:hAnsi="Arial" w:cs="Arial"/>
        </w:rPr>
        <w:t>Farnesene</w:t>
      </w:r>
      <w:proofErr w:type="spellEnd"/>
      <w:r>
        <w:rPr>
          <w:rFonts w:ascii="Arial" w:hAnsi="Arial" w:cs="Arial"/>
        </w:rPr>
        <w:t>.</w:t>
      </w:r>
    </w:p>
    <w:p>
      <w:pPr>
        <w:spacing w:before="240" w:line="276" w:lineRule="auto"/>
        <w:jc w:val="both"/>
        <w:rPr>
          <w:rFonts w:ascii="Arial" w:hAnsi="Arial" w:cs="Arial"/>
        </w:rPr>
      </w:pPr>
      <w:bookmarkStart w:id="0" w:name="_Hlk205376138"/>
      <w:r>
        <w:rPr>
          <w:noProof/>
        </w:rPr>
        <w:lastRenderedPageBreak/>
        <w:drawing>
          <wp:inline distT="0" distB="0" distL="0" distR="0">
            <wp:extent cx="5783591" cy="5191516"/>
            <wp:effectExtent l="0" t="0" r="762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7.png"/>
                    <pic:cNvPicPr/>
                  </pic:nvPicPr>
                  <pic:blipFill>
                    <a:blip r:embed="rId9">
                      <a:extLst>
                        <a:ext uri="{28A0092B-C50C-407E-A947-70E740481C1C}">
                          <a14:useLocalDpi xmlns:a14="http://schemas.microsoft.com/office/drawing/2010/main" val="0"/>
                        </a:ext>
                      </a:extLst>
                    </a:blip>
                    <a:stretch>
                      <a:fillRect/>
                    </a:stretch>
                  </pic:blipFill>
                  <pic:spPr>
                    <a:xfrm>
                      <a:off x="0" y="0"/>
                      <a:ext cx="5783591" cy="5191516"/>
                    </a:xfrm>
                    <a:prstGeom prst="rect">
                      <a:avLst/>
                    </a:prstGeom>
                  </pic:spPr>
                </pic:pic>
              </a:graphicData>
            </a:graphic>
          </wp:inline>
        </w:drawing>
      </w:r>
      <w:r>
        <w:br/>
      </w:r>
      <w:bookmarkStart w:id="1" w:name="_GoBack"/>
      <w:bookmarkEnd w:id="0"/>
      <w:r>
        <w:rPr>
          <w:rFonts w:ascii="Arial" w:eastAsia="Calibri" w:hAnsi="Arial" w:cs="Arial"/>
          <w:b/>
          <w:bCs/>
          <w:sz w:val="24"/>
          <w:szCs w:val="24"/>
        </w:rPr>
        <w:t>Figure S</w:t>
      </w:r>
      <w:r>
        <w:rPr>
          <w:rFonts w:ascii="Arial" w:eastAsia="Times New Roman" w:hAnsi="Arial" w:cs="Arial"/>
          <w:b/>
          <w:sz w:val="24"/>
          <w:szCs w:val="24"/>
        </w:rPr>
        <w:t>5.</w:t>
      </w:r>
      <w:r>
        <w:rPr>
          <w:rFonts w:ascii="Arial" w:eastAsia="Calibri" w:hAnsi="Arial" w:cs="Arial"/>
          <w:b/>
          <w:bCs/>
          <w:sz w:val="24"/>
          <w:szCs w:val="24"/>
        </w:rPr>
        <w:t xml:space="preserve"> </w:t>
      </w:r>
      <w:bookmarkEnd w:id="1"/>
      <w:r>
        <w:rPr>
          <w:rFonts w:ascii="Arial" w:eastAsia="Calibri" w:hAnsi="Arial" w:cs="Arial"/>
          <w:sz w:val="24"/>
          <w:szCs w:val="24"/>
        </w:rPr>
        <w:t xml:space="preserve">Root (a) </w:t>
      </w:r>
      <w:proofErr w:type="spellStart"/>
      <w:r>
        <w:rPr>
          <w:rFonts w:ascii="Arial" w:eastAsia="Calibri" w:hAnsi="Arial" w:cs="Arial"/>
          <w:sz w:val="24"/>
          <w:szCs w:val="24"/>
        </w:rPr>
        <w:t>monoterpenoid</w:t>
      </w:r>
      <w:proofErr w:type="spellEnd"/>
      <w:r>
        <w:rPr>
          <w:rFonts w:ascii="Arial" w:eastAsia="Calibri" w:hAnsi="Arial" w:cs="Arial"/>
          <w:sz w:val="24"/>
          <w:szCs w:val="24"/>
        </w:rPr>
        <w:t xml:space="preserve">, and (b) </w:t>
      </w:r>
      <w:proofErr w:type="spellStart"/>
      <w:r>
        <w:rPr>
          <w:rFonts w:ascii="Arial" w:eastAsia="Calibri" w:hAnsi="Arial" w:cs="Arial"/>
          <w:sz w:val="24"/>
          <w:szCs w:val="24"/>
        </w:rPr>
        <w:t>sesquiterpenoid</w:t>
      </w:r>
      <w:proofErr w:type="spellEnd"/>
      <w:r>
        <w:rPr>
          <w:rFonts w:ascii="Arial" w:eastAsia="Calibri" w:hAnsi="Arial" w:cs="Arial"/>
          <w:sz w:val="24"/>
          <w:szCs w:val="24"/>
        </w:rPr>
        <w:t xml:space="preserve"> emissions across </w:t>
      </w:r>
      <w:proofErr w:type="spellStart"/>
      <w:r>
        <w:rPr>
          <w:rFonts w:ascii="Arial" w:eastAsia="Calibri" w:hAnsi="Arial" w:cs="Arial"/>
          <w:sz w:val="24"/>
          <w:szCs w:val="24"/>
        </w:rPr>
        <w:t>rhizotron</w:t>
      </w:r>
      <w:proofErr w:type="spellEnd"/>
      <w:r>
        <w:rPr>
          <w:rFonts w:ascii="Arial" w:eastAsia="Calibri" w:hAnsi="Arial" w:cs="Arial"/>
          <w:sz w:val="24"/>
          <w:szCs w:val="24"/>
        </w:rPr>
        <w:t xml:space="preserve"> zones: 1) top-zone – twister ~5 cm below the surface (near coarse roots); 2) low-zone – twisters on individual lower roots (30-40 cm from the top) enclosed with foil bags. The soil-background check showed no </w:t>
      </w:r>
      <w:proofErr w:type="spellStart"/>
      <w:r>
        <w:rPr>
          <w:rFonts w:ascii="Arial" w:eastAsia="Calibri" w:hAnsi="Arial" w:cs="Arial"/>
          <w:sz w:val="24"/>
          <w:szCs w:val="24"/>
        </w:rPr>
        <w:t>terpenoid</w:t>
      </w:r>
      <w:proofErr w:type="spellEnd"/>
      <w:r>
        <w:rPr>
          <w:rFonts w:ascii="Arial" w:eastAsia="Calibri" w:hAnsi="Arial" w:cs="Arial"/>
          <w:sz w:val="24"/>
          <w:szCs w:val="24"/>
        </w:rPr>
        <w:t xml:space="preserve"> peaks and </w:t>
      </w:r>
      <w:proofErr w:type="gramStart"/>
      <w:r>
        <w:rPr>
          <w:rFonts w:ascii="Arial" w:eastAsia="Calibri" w:hAnsi="Arial" w:cs="Arial"/>
          <w:sz w:val="24"/>
          <w:szCs w:val="24"/>
        </w:rPr>
        <w:t xml:space="preserve">was </w:t>
      </w:r>
      <w:r>
        <w:rPr>
          <w:rFonts w:ascii="Arial" w:eastAsia="Calibri" w:hAnsi="Arial" w:cs="Arial"/>
          <w:color w:val="70AD47" w:themeColor="accent6"/>
          <w:sz w:val="24"/>
          <w:szCs w:val="24"/>
        </w:rPr>
        <w:t xml:space="preserve">therefore </w:t>
      </w:r>
      <w:r>
        <w:rPr>
          <w:rFonts w:ascii="Arial" w:eastAsia="Calibri" w:hAnsi="Arial" w:cs="Arial"/>
          <w:sz w:val="24"/>
          <w:szCs w:val="24"/>
        </w:rPr>
        <w:t>omitted</w:t>
      </w:r>
      <w:proofErr w:type="gramEnd"/>
      <w:r>
        <w:rPr>
          <w:rFonts w:ascii="Arial" w:eastAsia="Calibri" w:hAnsi="Arial" w:cs="Arial"/>
          <w:sz w:val="24"/>
          <w:szCs w:val="24"/>
        </w:rPr>
        <w:t xml:space="preserve"> from the figure and analysis. </w:t>
      </w:r>
      <w:proofErr w:type="spellStart"/>
      <w:r>
        <w:rPr>
          <w:rFonts w:ascii="Arial" w:eastAsia="Calibri" w:hAnsi="Arial" w:cs="Arial"/>
          <w:sz w:val="24"/>
          <w:szCs w:val="24"/>
        </w:rPr>
        <w:t>Bonferroni</w:t>
      </w:r>
      <w:proofErr w:type="spellEnd"/>
      <w:r>
        <w:rPr>
          <w:rFonts w:ascii="Arial" w:eastAsia="Calibri" w:hAnsi="Arial" w:cs="Arial"/>
          <w:sz w:val="24"/>
          <w:szCs w:val="24"/>
        </w:rPr>
        <w:t xml:space="preserve">-adjusted Dunn tests showed higher </w:t>
      </w:r>
      <w:proofErr w:type="spellStart"/>
      <w:r>
        <w:rPr>
          <w:rFonts w:ascii="Arial" w:eastAsia="Calibri" w:hAnsi="Arial" w:cs="Arial"/>
          <w:sz w:val="24"/>
          <w:szCs w:val="24"/>
        </w:rPr>
        <w:t>monoterpenoid</w:t>
      </w:r>
      <w:proofErr w:type="spellEnd"/>
      <w:r>
        <w:rPr>
          <w:rFonts w:ascii="Arial" w:eastAsia="Calibri" w:hAnsi="Arial" w:cs="Arial"/>
          <w:sz w:val="24"/>
          <w:szCs w:val="24"/>
        </w:rPr>
        <w:t xml:space="preserve"> and </w:t>
      </w:r>
      <w:proofErr w:type="spellStart"/>
      <w:r>
        <w:rPr>
          <w:rFonts w:ascii="Arial" w:eastAsia="Calibri" w:hAnsi="Arial" w:cs="Arial"/>
          <w:sz w:val="24"/>
          <w:szCs w:val="24"/>
        </w:rPr>
        <w:t>sesquiterpenoid</w:t>
      </w:r>
      <w:proofErr w:type="spellEnd"/>
      <w:r>
        <w:rPr>
          <w:rFonts w:ascii="Arial" w:eastAsia="Calibri" w:hAnsi="Arial" w:cs="Arial"/>
          <w:sz w:val="24"/>
          <w:szCs w:val="24"/>
        </w:rPr>
        <w:t xml:space="preserve"> emission in the top-zone relative to the low-zone </w:t>
      </w:r>
      <w:r>
        <w:rPr>
          <w:rFonts w:ascii="Arial" w:eastAsia="Calibri" w:hAnsi="Arial" w:cs="Arial"/>
          <w:color w:val="70AD47" w:themeColor="accent6"/>
          <w:sz w:val="24"/>
          <w:szCs w:val="24"/>
        </w:rPr>
        <w:t xml:space="preserve">(MT: ***; p &lt; 0.001; SQT: *; p = 0.025). </w:t>
      </w:r>
      <w:r>
        <w:rPr>
          <w:rFonts w:ascii="Arial" w:eastAsia="Times New Roman" w:hAnsi="Arial" w:cs="Arial"/>
          <w:color w:val="70AD47" w:themeColor="accent6"/>
          <w:sz w:val="24"/>
          <w:szCs w:val="24"/>
        </w:rPr>
        <w:t xml:space="preserve">Positive sample sizes </w:t>
      </w:r>
      <w:proofErr w:type="gramStart"/>
      <w:r>
        <w:rPr>
          <w:rFonts w:ascii="Arial" w:eastAsia="Times New Roman" w:hAnsi="Arial" w:cs="Arial"/>
          <w:color w:val="70AD47" w:themeColor="accent6"/>
          <w:sz w:val="24"/>
          <w:szCs w:val="24"/>
        </w:rPr>
        <w:t>were:</w:t>
      </w:r>
      <w:proofErr w:type="gramEnd"/>
      <w:r>
        <w:rPr>
          <w:rFonts w:ascii="Arial" w:eastAsia="Times New Roman" w:hAnsi="Arial" w:cs="Arial"/>
          <w:color w:val="70AD47" w:themeColor="accent6"/>
          <w:sz w:val="24"/>
          <w:szCs w:val="24"/>
        </w:rPr>
        <w:t xml:space="preserve"> top-zone 25, low-zone 36 in panel a, and top-zone 13, low-zone 34 in panel b</w:t>
      </w:r>
      <w:r>
        <w:rPr>
          <w:rFonts w:ascii="Arial" w:hAnsi="Arial" w:cs="Arial"/>
          <w:color w:val="70AD47" w:themeColor="accent6"/>
        </w:rPr>
        <w:t>.</w:t>
      </w:r>
    </w:p>
    <w:p>
      <w:pPr>
        <w:pStyle w:val="paragraph"/>
        <w:spacing w:after="0"/>
        <w:textAlignment w:val="baseline"/>
        <w:rPr>
          <w:rFonts w:ascii="Arial" w:hAnsi="Arial" w:cs="Arial"/>
        </w:rPr>
      </w:pPr>
      <w:r>
        <w:rPr>
          <w:rFonts w:ascii="Arial" w:hAnsi="Arial" w:cs="Arial"/>
        </w:rPr>
        <w:lastRenderedPageBreak/>
        <w:t xml:space="preserve"> </w:t>
      </w:r>
      <w:r>
        <w:br/>
      </w:r>
      <w:r>
        <w:rPr>
          <w:rFonts w:ascii="Arial" w:hAnsi="Arial" w:cs="Arial"/>
          <w:noProof/>
        </w:rPr>
        <w:drawing>
          <wp:inline distT="0" distB="0" distL="0" distR="0">
            <wp:extent cx="5354384" cy="4362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S8.png"/>
                    <pic:cNvPicPr/>
                  </pic:nvPicPr>
                  <pic:blipFill>
                    <a:blip r:embed="rId10">
                      <a:extLst>
                        <a:ext uri="{28A0092B-C50C-407E-A947-70E740481C1C}">
                          <a14:useLocalDpi xmlns:a14="http://schemas.microsoft.com/office/drawing/2010/main" val="0"/>
                        </a:ext>
                      </a:extLst>
                    </a:blip>
                    <a:stretch>
                      <a:fillRect/>
                    </a:stretch>
                  </pic:blipFill>
                  <pic:spPr>
                    <a:xfrm>
                      <a:off x="0" y="0"/>
                      <a:ext cx="5356023" cy="4363785"/>
                    </a:xfrm>
                    <a:prstGeom prst="rect">
                      <a:avLst/>
                    </a:prstGeom>
                  </pic:spPr>
                </pic:pic>
              </a:graphicData>
            </a:graphic>
          </wp:inline>
        </w:drawing>
      </w:r>
    </w:p>
    <w:p>
      <w:pPr>
        <w:pStyle w:val="paragraph"/>
        <w:spacing w:line="276" w:lineRule="auto"/>
        <w:jc w:val="both"/>
        <w:textAlignment w:val="baseline"/>
        <w:rPr>
          <w:rFonts w:ascii="Arial" w:hAnsi="Arial" w:cs="Arial"/>
          <w:bCs/>
        </w:rPr>
      </w:pPr>
      <w:r>
        <w:rPr>
          <w:rFonts w:ascii="Arial" w:hAnsi="Arial" w:cs="Arial"/>
          <w:b/>
          <w:bCs/>
        </w:rPr>
        <w:t xml:space="preserve">Figure S6. </w:t>
      </w:r>
      <w:r>
        <w:rPr>
          <w:rFonts w:ascii="Arial" w:hAnsi="Arial" w:cs="Arial"/>
          <w:bCs/>
        </w:rPr>
        <w:t>Median root diameter over the days of year (DOY 287–347) differed by chemotypes. Magenta, green, and blue curves show chemotype 1, chemotype 2, and chemotype 3. Vertical markers show, from left to right, the onset of wireworm treatment (day 313), aphid treatment (day 325), the rhizotron twister analysis (day 326), and the initial harvest (day 329).</w:t>
      </w:r>
    </w:p>
    <w:p>
      <w:pPr>
        <w:pStyle w:val="paragraph"/>
        <w:spacing w:line="276" w:lineRule="auto"/>
        <w:jc w:val="both"/>
        <w:textAlignment w:val="baseline"/>
        <w:rPr>
          <w:rFonts w:ascii="Arial" w:hAnsi="Arial" w:cs="Arial"/>
          <w:b/>
          <w:bCs/>
        </w:rPr>
      </w:pPr>
    </w:p>
    <w:p>
      <w:pPr>
        <w:spacing w:after="0"/>
        <w:rPr>
          <w:rFonts w:ascii="Segoe UI" w:hAnsi="Segoe UI" w:cs="Segoe UI"/>
          <w:sz w:val="18"/>
          <w:szCs w:val="18"/>
        </w:rPr>
      </w:pPr>
      <w:r>
        <w:rPr>
          <w:noProof/>
        </w:rPr>
        <w:lastRenderedPageBreak/>
        <w:drawing>
          <wp:inline distT="0" distB="0" distL="0" distR="0">
            <wp:extent cx="4939430" cy="345981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939430" cy="3459814"/>
                    </a:xfrm>
                    <a:prstGeom prst="rect">
                      <a:avLst/>
                    </a:prstGeom>
                  </pic:spPr>
                </pic:pic>
              </a:graphicData>
            </a:graphic>
          </wp:inline>
        </w:drawing>
      </w:r>
    </w:p>
    <w:p>
      <w:pPr>
        <w:pStyle w:val="paragraph"/>
        <w:spacing w:line="276" w:lineRule="auto"/>
        <w:jc w:val="both"/>
        <w:rPr>
          <w:rFonts w:ascii="Arial" w:hAnsi="Arial" w:cs="Arial"/>
        </w:rPr>
      </w:pPr>
      <w:r>
        <w:rPr>
          <w:rFonts w:ascii="Arial" w:hAnsi="Arial" w:cs="Arial"/>
          <w:b/>
          <w:bCs/>
        </w:rPr>
        <w:t>Figure S7.</w:t>
      </w:r>
      <w:r>
        <w:rPr>
          <w:rFonts w:ascii="Arial" w:hAnsi="Arial" w:cs="Arial"/>
        </w:rPr>
        <w:t xml:space="preserve"> Root surface area (mm²) measured a week before the final harvest is plotted against the total concentration of stored sesquiterpenoids (Pearson’s </w:t>
      </w:r>
      <w:r>
        <w:rPr>
          <w:rFonts w:ascii="Arial" w:hAnsi="Arial" w:cs="Arial"/>
          <w:iCs/>
        </w:rPr>
        <w:t>R</w:t>
      </w:r>
      <w:r>
        <w:rPr>
          <w:rFonts w:ascii="Arial" w:hAnsi="Arial" w:cs="Arial"/>
        </w:rPr>
        <w:t xml:space="preserve"> = 0.67, </w:t>
      </w:r>
      <w:r>
        <w:rPr>
          <w:rFonts w:ascii="Arial" w:hAnsi="Arial" w:cs="Arial"/>
          <w:iCs/>
        </w:rPr>
        <w:t>p</w:t>
      </w:r>
      <w:r>
        <w:rPr>
          <w:rFonts w:ascii="Arial" w:hAnsi="Arial" w:cs="Arial"/>
        </w:rPr>
        <w:t xml:space="preserve"> = 0.01) in the roots of untreated plants (</w:t>
      </w:r>
      <w:r>
        <w:rPr>
          <w:rFonts w:ascii="Arial" w:hAnsi="Arial" w:cs="Arial"/>
          <w:iCs/>
        </w:rPr>
        <w:t>n</w:t>
      </w:r>
      <w:r>
        <w:rPr>
          <w:rFonts w:ascii="Arial" w:hAnsi="Arial" w:cs="Arial"/>
        </w:rPr>
        <w:t xml:space="preserve"> = 14). The solid line shows the fitted linear regression with the 95% confidence interval (grey band).</w:t>
      </w:r>
    </w:p>
    <w:p>
      <w:pPr>
        <w:pStyle w:val="paragraph"/>
        <w:spacing w:before="0" w:beforeAutospacing="0" w:after="0" w:afterAutospacing="0"/>
        <w:textAlignment w:val="baseline"/>
        <w:rPr>
          <w:rFonts w:ascii="Segoe UI" w:hAnsi="Segoe UI" w:cs="Segoe UI"/>
          <w:sz w:val="18"/>
          <w:szCs w:val="18"/>
        </w:rPr>
        <w:sectPr>
          <w:pgSz w:w="12240" w:h="15840"/>
          <w:pgMar w:top="1440" w:right="1440" w:bottom="1440" w:left="1440" w:header="720" w:footer="720" w:gutter="0"/>
          <w:cols w:space="720"/>
          <w:docGrid w:linePitch="360"/>
        </w:sectPr>
      </w:pPr>
    </w:p>
    <w:tbl>
      <w:tblPr>
        <w:tblpPr w:leftFromText="180" w:rightFromText="180" w:vertAnchor="page" w:horzAnchor="margin" w:tblpY="1863"/>
        <w:tblW w:w="8931" w:type="dxa"/>
        <w:tblBorders>
          <w:top w:val="single" w:sz="4" w:space="0" w:color="auto"/>
          <w:bottom w:val="single" w:sz="4" w:space="0" w:color="auto"/>
        </w:tblBorders>
        <w:tblLook w:val="04A0" w:firstRow="1" w:lastRow="0" w:firstColumn="1" w:lastColumn="0" w:noHBand="0" w:noVBand="1"/>
      </w:tblPr>
      <w:tblGrid>
        <w:gridCol w:w="2263"/>
        <w:gridCol w:w="3402"/>
        <w:gridCol w:w="1418"/>
        <w:gridCol w:w="1848"/>
      </w:tblGrid>
      <w:tr>
        <w:trPr>
          <w:trHeight w:val="416"/>
        </w:trPr>
        <w:tc>
          <w:tcPr>
            <w:tcW w:w="2263" w:type="dxa"/>
            <w:tcBorders>
              <w:top w:val="single" w:sz="4" w:space="0" w:color="auto"/>
              <w:bottom w:val="single" w:sz="4" w:space="0" w:color="auto"/>
            </w:tcBorders>
            <w:vAlign w:val="center"/>
            <w:hideMark/>
          </w:tcPr>
          <w:p>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lastRenderedPageBreak/>
              <w:t>Response</w:t>
            </w:r>
          </w:p>
        </w:tc>
        <w:tc>
          <w:tcPr>
            <w:tcW w:w="3402" w:type="dxa"/>
            <w:tcBorders>
              <w:top w:val="single" w:sz="4" w:space="0" w:color="auto"/>
              <w:bottom w:val="single" w:sz="4" w:space="0" w:color="auto"/>
            </w:tcBorders>
            <w:vAlign w:val="center"/>
            <w:hideMark/>
          </w:tcPr>
          <w:p>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Comparison</w:t>
            </w:r>
          </w:p>
        </w:tc>
        <w:tc>
          <w:tcPr>
            <w:tcW w:w="1418" w:type="dxa"/>
            <w:tcBorders>
              <w:top w:val="single" w:sz="4" w:space="0" w:color="auto"/>
              <w:bottom w:val="single" w:sz="4" w:space="0" w:color="auto"/>
            </w:tcBorders>
            <w:vAlign w:val="center"/>
            <w:hideMark/>
          </w:tcPr>
          <w:p>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Wald χ²</w:t>
            </w:r>
          </w:p>
        </w:tc>
        <w:tc>
          <w:tcPr>
            <w:tcW w:w="1848" w:type="dxa"/>
            <w:tcBorders>
              <w:top w:val="single" w:sz="4" w:space="0" w:color="auto"/>
              <w:bottom w:val="single" w:sz="4" w:space="0" w:color="auto"/>
            </w:tcBorders>
            <w:vAlign w:val="center"/>
            <w:hideMark/>
          </w:tcPr>
          <w:p>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BH-adjusted p</w:t>
            </w:r>
          </w:p>
        </w:tc>
      </w:tr>
      <w:tr>
        <w:trPr>
          <w:trHeight w:val="113"/>
        </w:trPr>
        <w:tc>
          <w:tcPr>
            <w:tcW w:w="2263" w:type="dxa"/>
            <w:tcBorders>
              <w:top w:val="single" w:sz="4" w:space="0" w:color="auto"/>
              <w:bottom w:val="nil"/>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Surface area</w:t>
            </w:r>
          </w:p>
        </w:tc>
        <w:tc>
          <w:tcPr>
            <w:tcW w:w="3402" w:type="dxa"/>
            <w:tcBorders>
              <w:top w:val="single" w:sz="4" w:space="0" w:color="auto"/>
              <w:bottom w:val="nil"/>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1 − Chemotype 2</w:t>
            </w:r>
          </w:p>
        </w:tc>
        <w:tc>
          <w:tcPr>
            <w:tcW w:w="1418" w:type="dxa"/>
            <w:tcBorders>
              <w:top w:val="single" w:sz="4" w:space="0" w:color="auto"/>
              <w:bottom w:val="nil"/>
            </w:tcBorders>
            <w:vAlign w:val="bottom"/>
            <w:hideMark/>
          </w:tcPr>
          <w:p>
            <w:pPr>
              <w:jc w:val="center"/>
              <w:rPr>
                <w:rFonts w:ascii="Arial" w:hAnsi="Arial" w:cs="Arial"/>
                <w:b/>
                <w:sz w:val="24"/>
                <w:szCs w:val="24"/>
              </w:rPr>
            </w:pPr>
            <w:r>
              <w:rPr>
                <w:rFonts w:ascii="Arial" w:hAnsi="Arial" w:cs="Arial"/>
                <w:b/>
                <w:sz w:val="24"/>
                <w:szCs w:val="24"/>
              </w:rPr>
              <w:t>5.94</w:t>
            </w:r>
          </w:p>
        </w:tc>
        <w:tc>
          <w:tcPr>
            <w:tcW w:w="1848" w:type="dxa"/>
            <w:tcBorders>
              <w:top w:val="single" w:sz="4" w:space="0" w:color="auto"/>
              <w:bottom w:val="nil"/>
            </w:tcBorders>
            <w:vAlign w:val="bottom"/>
            <w:hideMark/>
          </w:tcPr>
          <w:p>
            <w:pPr>
              <w:jc w:val="center"/>
              <w:rPr>
                <w:rFonts w:ascii="Arial" w:hAnsi="Arial" w:cs="Arial"/>
                <w:b/>
                <w:sz w:val="24"/>
                <w:szCs w:val="24"/>
              </w:rPr>
            </w:pPr>
            <w:r>
              <w:rPr>
                <w:rFonts w:ascii="Arial" w:hAnsi="Arial" w:cs="Arial"/>
                <w:b/>
                <w:sz w:val="24"/>
                <w:szCs w:val="24"/>
              </w:rPr>
              <w:t>0.022*</w:t>
            </w:r>
          </w:p>
        </w:tc>
      </w:tr>
      <w:tr>
        <w:trPr>
          <w:trHeight w:val="113"/>
        </w:trPr>
        <w:tc>
          <w:tcPr>
            <w:tcW w:w="2263" w:type="dxa"/>
            <w:tcBorders>
              <w:top w:val="nil"/>
              <w:bottom w:val="nil"/>
            </w:tcBorders>
            <w:hideMark/>
          </w:tcPr>
          <w:p>
            <w:pPr>
              <w:spacing w:after="0" w:line="240" w:lineRule="auto"/>
              <w:rPr>
                <w:rFonts w:ascii="Arial" w:eastAsia="Times New Roman" w:hAnsi="Arial" w:cs="Arial"/>
                <w:sz w:val="24"/>
                <w:szCs w:val="24"/>
              </w:rPr>
            </w:pPr>
          </w:p>
        </w:tc>
        <w:tc>
          <w:tcPr>
            <w:tcW w:w="3402" w:type="dxa"/>
            <w:tcBorders>
              <w:top w:val="nil"/>
              <w:bottom w:val="nil"/>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1 − Chemotype 3</w:t>
            </w:r>
          </w:p>
        </w:tc>
        <w:tc>
          <w:tcPr>
            <w:tcW w:w="1418" w:type="dxa"/>
            <w:tcBorders>
              <w:top w:val="nil"/>
              <w:bottom w:val="nil"/>
            </w:tcBorders>
            <w:vAlign w:val="bottom"/>
            <w:hideMark/>
          </w:tcPr>
          <w:p>
            <w:pPr>
              <w:jc w:val="center"/>
              <w:rPr>
                <w:rFonts w:ascii="Arial" w:hAnsi="Arial" w:cs="Arial"/>
                <w:b/>
                <w:sz w:val="24"/>
                <w:szCs w:val="24"/>
              </w:rPr>
            </w:pPr>
            <w:r>
              <w:rPr>
                <w:rFonts w:ascii="Arial" w:hAnsi="Arial" w:cs="Arial"/>
                <w:b/>
                <w:sz w:val="24"/>
                <w:szCs w:val="24"/>
              </w:rPr>
              <w:t>9.40</w:t>
            </w:r>
          </w:p>
        </w:tc>
        <w:tc>
          <w:tcPr>
            <w:tcW w:w="1848" w:type="dxa"/>
            <w:tcBorders>
              <w:top w:val="nil"/>
              <w:bottom w:val="nil"/>
            </w:tcBorders>
            <w:vAlign w:val="bottom"/>
            <w:hideMark/>
          </w:tcPr>
          <w:p>
            <w:pPr>
              <w:jc w:val="center"/>
              <w:rPr>
                <w:rFonts w:ascii="Arial" w:hAnsi="Arial" w:cs="Arial"/>
                <w:b/>
                <w:sz w:val="24"/>
                <w:szCs w:val="24"/>
              </w:rPr>
            </w:pPr>
            <w:r>
              <w:rPr>
                <w:rFonts w:ascii="Arial" w:hAnsi="Arial" w:cs="Arial"/>
                <w:b/>
                <w:sz w:val="24"/>
                <w:szCs w:val="24"/>
              </w:rPr>
              <w:t>0.007**</w:t>
            </w:r>
          </w:p>
        </w:tc>
      </w:tr>
      <w:tr>
        <w:trPr>
          <w:trHeight w:val="113"/>
        </w:trPr>
        <w:tc>
          <w:tcPr>
            <w:tcW w:w="2263" w:type="dxa"/>
            <w:tcBorders>
              <w:top w:val="nil"/>
              <w:bottom w:val="single" w:sz="4" w:space="0" w:color="auto"/>
            </w:tcBorders>
            <w:hideMark/>
          </w:tcPr>
          <w:p>
            <w:pPr>
              <w:spacing w:after="0" w:line="240" w:lineRule="auto"/>
              <w:rPr>
                <w:rFonts w:ascii="Arial" w:eastAsia="Times New Roman" w:hAnsi="Arial" w:cs="Arial"/>
                <w:sz w:val="24"/>
                <w:szCs w:val="24"/>
              </w:rPr>
            </w:pPr>
          </w:p>
        </w:tc>
        <w:tc>
          <w:tcPr>
            <w:tcW w:w="3402" w:type="dxa"/>
            <w:tcBorders>
              <w:top w:val="nil"/>
              <w:bottom w:val="single" w:sz="4" w:space="0" w:color="auto"/>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2 − Chemotype 3</w:t>
            </w:r>
          </w:p>
        </w:tc>
        <w:tc>
          <w:tcPr>
            <w:tcW w:w="1418" w:type="dxa"/>
            <w:tcBorders>
              <w:top w:val="nil"/>
              <w:bottom w:val="single" w:sz="4" w:space="0" w:color="auto"/>
            </w:tcBorders>
            <w:vAlign w:val="bottom"/>
            <w:hideMark/>
          </w:tcPr>
          <w:p>
            <w:pPr>
              <w:jc w:val="center"/>
              <w:rPr>
                <w:rFonts w:ascii="Arial" w:hAnsi="Arial" w:cs="Arial"/>
                <w:sz w:val="24"/>
                <w:szCs w:val="24"/>
              </w:rPr>
            </w:pPr>
            <w:r>
              <w:rPr>
                <w:rFonts w:ascii="Arial" w:hAnsi="Arial" w:cs="Arial"/>
                <w:sz w:val="24"/>
                <w:szCs w:val="24"/>
              </w:rPr>
              <w:t>0.38</w:t>
            </w:r>
          </w:p>
        </w:tc>
        <w:tc>
          <w:tcPr>
            <w:tcW w:w="1848" w:type="dxa"/>
            <w:tcBorders>
              <w:top w:val="nil"/>
              <w:bottom w:val="single" w:sz="4" w:space="0" w:color="auto"/>
            </w:tcBorders>
            <w:vAlign w:val="bottom"/>
            <w:hideMark/>
          </w:tcPr>
          <w:p>
            <w:pPr>
              <w:jc w:val="center"/>
              <w:rPr>
                <w:rFonts w:ascii="Arial" w:hAnsi="Arial" w:cs="Arial"/>
                <w:sz w:val="24"/>
                <w:szCs w:val="24"/>
              </w:rPr>
            </w:pPr>
            <w:r>
              <w:rPr>
                <w:rFonts w:ascii="Arial" w:hAnsi="Arial" w:cs="Arial"/>
                <w:sz w:val="24"/>
                <w:szCs w:val="24"/>
              </w:rPr>
              <w:t>0.539</w:t>
            </w:r>
          </w:p>
        </w:tc>
      </w:tr>
      <w:tr>
        <w:trPr>
          <w:trHeight w:val="113"/>
        </w:trPr>
        <w:tc>
          <w:tcPr>
            <w:tcW w:w="2263" w:type="dxa"/>
            <w:tcBorders>
              <w:top w:val="single" w:sz="4" w:space="0" w:color="auto"/>
              <w:bottom w:val="nil"/>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Total root length</w:t>
            </w:r>
          </w:p>
        </w:tc>
        <w:tc>
          <w:tcPr>
            <w:tcW w:w="3402" w:type="dxa"/>
            <w:tcBorders>
              <w:top w:val="single" w:sz="4" w:space="0" w:color="auto"/>
              <w:bottom w:val="nil"/>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1 − Chemotype 2</w:t>
            </w:r>
          </w:p>
        </w:tc>
        <w:tc>
          <w:tcPr>
            <w:tcW w:w="1418" w:type="dxa"/>
            <w:tcBorders>
              <w:top w:val="single" w:sz="4" w:space="0" w:color="auto"/>
              <w:bottom w:val="nil"/>
            </w:tcBorders>
            <w:vAlign w:val="bottom"/>
            <w:hideMark/>
          </w:tcPr>
          <w:p>
            <w:pPr>
              <w:jc w:val="center"/>
              <w:rPr>
                <w:rFonts w:ascii="Arial" w:hAnsi="Arial" w:cs="Arial"/>
                <w:b/>
                <w:sz w:val="24"/>
                <w:szCs w:val="24"/>
              </w:rPr>
            </w:pPr>
            <w:r>
              <w:rPr>
                <w:rFonts w:ascii="Arial" w:hAnsi="Arial" w:cs="Arial"/>
                <w:b/>
                <w:sz w:val="24"/>
                <w:szCs w:val="24"/>
              </w:rPr>
              <w:t>4.94</w:t>
            </w:r>
          </w:p>
        </w:tc>
        <w:tc>
          <w:tcPr>
            <w:tcW w:w="1848" w:type="dxa"/>
            <w:tcBorders>
              <w:top w:val="single" w:sz="4" w:space="0" w:color="auto"/>
              <w:bottom w:val="nil"/>
            </w:tcBorders>
            <w:vAlign w:val="bottom"/>
            <w:hideMark/>
          </w:tcPr>
          <w:p>
            <w:pPr>
              <w:jc w:val="center"/>
              <w:rPr>
                <w:rFonts w:ascii="Arial" w:hAnsi="Arial" w:cs="Arial"/>
                <w:b/>
                <w:sz w:val="24"/>
                <w:szCs w:val="24"/>
              </w:rPr>
            </w:pPr>
            <w:r>
              <w:rPr>
                <w:rFonts w:ascii="Arial" w:hAnsi="Arial" w:cs="Arial"/>
                <w:b/>
                <w:sz w:val="24"/>
                <w:szCs w:val="24"/>
              </w:rPr>
              <w:t>0.039*</w:t>
            </w:r>
          </w:p>
        </w:tc>
      </w:tr>
      <w:tr>
        <w:trPr>
          <w:trHeight w:val="113"/>
        </w:trPr>
        <w:tc>
          <w:tcPr>
            <w:tcW w:w="2263" w:type="dxa"/>
            <w:tcBorders>
              <w:top w:val="nil"/>
              <w:bottom w:val="nil"/>
            </w:tcBorders>
            <w:hideMark/>
          </w:tcPr>
          <w:p>
            <w:pPr>
              <w:spacing w:after="0" w:line="240" w:lineRule="auto"/>
              <w:rPr>
                <w:rFonts w:ascii="Arial" w:eastAsia="Times New Roman" w:hAnsi="Arial" w:cs="Arial"/>
                <w:sz w:val="24"/>
                <w:szCs w:val="24"/>
              </w:rPr>
            </w:pPr>
          </w:p>
        </w:tc>
        <w:tc>
          <w:tcPr>
            <w:tcW w:w="3402" w:type="dxa"/>
            <w:tcBorders>
              <w:top w:val="nil"/>
              <w:bottom w:val="nil"/>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1 − Chemotype 3</w:t>
            </w:r>
          </w:p>
        </w:tc>
        <w:tc>
          <w:tcPr>
            <w:tcW w:w="1418" w:type="dxa"/>
            <w:tcBorders>
              <w:top w:val="nil"/>
              <w:bottom w:val="nil"/>
            </w:tcBorders>
            <w:vAlign w:val="bottom"/>
            <w:hideMark/>
          </w:tcPr>
          <w:p>
            <w:pPr>
              <w:jc w:val="center"/>
              <w:rPr>
                <w:rFonts w:ascii="Arial" w:hAnsi="Arial" w:cs="Arial"/>
                <w:b/>
                <w:sz w:val="24"/>
                <w:szCs w:val="24"/>
              </w:rPr>
            </w:pPr>
            <w:r>
              <w:rPr>
                <w:rFonts w:ascii="Arial" w:hAnsi="Arial" w:cs="Arial"/>
                <w:b/>
                <w:sz w:val="24"/>
                <w:szCs w:val="24"/>
              </w:rPr>
              <w:t>13.01</w:t>
            </w:r>
          </w:p>
        </w:tc>
        <w:tc>
          <w:tcPr>
            <w:tcW w:w="1848" w:type="dxa"/>
            <w:tcBorders>
              <w:top w:val="nil"/>
              <w:bottom w:val="nil"/>
            </w:tcBorders>
            <w:vAlign w:val="bottom"/>
            <w:hideMark/>
          </w:tcPr>
          <w:p>
            <w:pPr>
              <w:jc w:val="center"/>
              <w:rPr>
                <w:rFonts w:ascii="Arial" w:hAnsi="Arial" w:cs="Arial"/>
                <w:b/>
                <w:sz w:val="24"/>
                <w:szCs w:val="24"/>
              </w:rPr>
            </w:pPr>
            <w:r>
              <w:rPr>
                <w:rFonts w:ascii="Arial" w:hAnsi="Arial" w:cs="Arial"/>
                <w:b/>
                <w:sz w:val="24"/>
                <w:szCs w:val="24"/>
              </w:rPr>
              <w:t>0.001**</w:t>
            </w:r>
          </w:p>
        </w:tc>
      </w:tr>
      <w:tr>
        <w:trPr>
          <w:trHeight w:val="113"/>
        </w:trPr>
        <w:tc>
          <w:tcPr>
            <w:tcW w:w="2263" w:type="dxa"/>
            <w:tcBorders>
              <w:top w:val="nil"/>
              <w:bottom w:val="single" w:sz="4" w:space="0" w:color="auto"/>
            </w:tcBorders>
            <w:hideMark/>
          </w:tcPr>
          <w:p>
            <w:pPr>
              <w:spacing w:after="0" w:line="240" w:lineRule="auto"/>
              <w:rPr>
                <w:rFonts w:ascii="Arial" w:eastAsia="Times New Roman" w:hAnsi="Arial" w:cs="Arial"/>
                <w:sz w:val="24"/>
                <w:szCs w:val="24"/>
              </w:rPr>
            </w:pPr>
          </w:p>
        </w:tc>
        <w:tc>
          <w:tcPr>
            <w:tcW w:w="3402" w:type="dxa"/>
            <w:tcBorders>
              <w:top w:val="nil"/>
              <w:bottom w:val="single" w:sz="4" w:space="0" w:color="auto"/>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2 − Chemotype 3</w:t>
            </w:r>
          </w:p>
        </w:tc>
        <w:tc>
          <w:tcPr>
            <w:tcW w:w="1418" w:type="dxa"/>
            <w:tcBorders>
              <w:top w:val="nil"/>
              <w:bottom w:val="single" w:sz="4" w:space="0" w:color="auto"/>
            </w:tcBorders>
            <w:vAlign w:val="bottom"/>
            <w:hideMark/>
          </w:tcPr>
          <w:p>
            <w:pPr>
              <w:jc w:val="center"/>
              <w:rPr>
                <w:rFonts w:ascii="Arial" w:hAnsi="Arial" w:cs="Arial"/>
                <w:sz w:val="24"/>
                <w:szCs w:val="24"/>
              </w:rPr>
            </w:pPr>
            <w:r>
              <w:rPr>
                <w:rFonts w:ascii="Arial" w:hAnsi="Arial" w:cs="Arial"/>
                <w:sz w:val="24"/>
                <w:szCs w:val="24"/>
              </w:rPr>
              <w:t>1.83</w:t>
            </w:r>
          </w:p>
        </w:tc>
        <w:tc>
          <w:tcPr>
            <w:tcW w:w="1848" w:type="dxa"/>
            <w:tcBorders>
              <w:top w:val="nil"/>
              <w:bottom w:val="single" w:sz="4" w:space="0" w:color="auto"/>
            </w:tcBorders>
            <w:vAlign w:val="bottom"/>
            <w:hideMark/>
          </w:tcPr>
          <w:p>
            <w:pPr>
              <w:jc w:val="center"/>
              <w:rPr>
                <w:rFonts w:ascii="Arial" w:hAnsi="Arial" w:cs="Arial"/>
                <w:sz w:val="24"/>
                <w:szCs w:val="24"/>
              </w:rPr>
            </w:pPr>
            <w:r>
              <w:rPr>
                <w:rFonts w:ascii="Arial" w:hAnsi="Arial" w:cs="Arial"/>
                <w:sz w:val="24"/>
                <w:szCs w:val="24"/>
              </w:rPr>
              <w:t>0.176</w:t>
            </w:r>
          </w:p>
        </w:tc>
      </w:tr>
      <w:tr>
        <w:trPr>
          <w:trHeight w:val="113"/>
        </w:trPr>
        <w:tc>
          <w:tcPr>
            <w:tcW w:w="2263" w:type="dxa"/>
            <w:tcBorders>
              <w:top w:val="single" w:sz="4" w:space="0" w:color="auto"/>
              <w:bottom w:val="nil"/>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Volume</w:t>
            </w:r>
          </w:p>
        </w:tc>
        <w:tc>
          <w:tcPr>
            <w:tcW w:w="3402" w:type="dxa"/>
            <w:tcBorders>
              <w:top w:val="single" w:sz="4" w:space="0" w:color="auto"/>
              <w:bottom w:val="nil"/>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1 − Chemotype 2</w:t>
            </w:r>
          </w:p>
        </w:tc>
        <w:tc>
          <w:tcPr>
            <w:tcW w:w="1418" w:type="dxa"/>
            <w:tcBorders>
              <w:top w:val="single" w:sz="4" w:space="0" w:color="auto"/>
              <w:bottom w:val="nil"/>
            </w:tcBorders>
            <w:vAlign w:val="bottom"/>
            <w:hideMark/>
          </w:tcPr>
          <w:p>
            <w:pPr>
              <w:jc w:val="center"/>
              <w:rPr>
                <w:rFonts w:ascii="Arial" w:hAnsi="Arial" w:cs="Arial"/>
                <w:b/>
                <w:sz w:val="24"/>
                <w:szCs w:val="24"/>
              </w:rPr>
            </w:pPr>
            <w:r>
              <w:rPr>
                <w:rFonts w:ascii="Arial" w:hAnsi="Arial" w:cs="Arial"/>
                <w:b/>
                <w:sz w:val="24"/>
                <w:szCs w:val="24"/>
              </w:rPr>
              <w:t>6.80</w:t>
            </w:r>
          </w:p>
        </w:tc>
        <w:tc>
          <w:tcPr>
            <w:tcW w:w="1848" w:type="dxa"/>
            <w:tcBorders>
              <w:top w:val="single" w:sz="4" w:space="0" w:color="auto"/>
              <w:bottom w:val="nil"/>
            </w:tcBorders>
            <w:vAlign w:val="bottom"/>
            <w:hideMark/>
          </w:tcPr>
          <w:p>
            <w:pPr>
              <w:jc w:val="center"/>
              <w:rPr>
                <w:rFonts w:ascii="Arial" w:hAnsi="Arial" w:cs="Arial"/>
                <w:b/>
                <w:sz w:val="24"/>
                <w:szCs w:val="24"/>
              </w:rPr>
            </w:pPr>
            <w:r>
              <w:rPr>
                <w:rFonts w:ascii="Arial" w:hAnsi="Arial" w:cs="Arial"/>
                <w:b/>
                <w:sz w:val="24"/>
                <w:szCs w:val="24"/>
              </w:rPr>
              <w:t>0.027*</w:t>
            </w:r>
          </w:p>
        </w:tc>
      </w:tr>
      <w:tr>
        <w:trPr>
          <w:trHeight w:val="113"/>
        </w:trPr>
        <w:tc>
          <w:tcPr>
            <w:tcW w:w="2263" w:type="dxa"/>
            <w:tcBorders>
              <w:top w:val="nil"/>
              <w:bottom w:val="nil"/>
            </w:tcBorders>
            <w:hideMark/>
          </w:tcPr>
          <w:p>
            <w:pPr>
              <w:spacing w:after="0" w:line="240" w:lineRule="auto"/>
              <w:rPr>
                <w:rFonts w:ascii="Arial" w:eastAsia="Times New Roman" w:hAnsi="Arial" w:cs="Arial"/>
                <w:sz w:val="24"/>
                <w:szCs w:val="24"/>
              </w:rPr>
            </w:pPr>
          </w:p>
        </w:tc>
        <w:tc>
          <w:tcPr>
            <w:tcW w:w="3402" w:type="dxa"/>
            <w:tcBorders>
              <w:top w:val="nil"/>
              <w:bottom w:val="nil"/>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1 − Chemotype 3</w:t>
            </w:r>
          </w:p>
        </w:tc>
        <w:tc>
          <w:tcPr>
            <w:tcW w:w="1418" w:type="dxa"/>
            <w:tcBorders>
              <w:top w:val="nil"/>
              <w:bottom w:val="nil"/>
            </w:tcBorders>
            <w:vAlign w:val="bottom"/>
            <w:hideMark/>
          </w:tcPr>
          <w:p>
            <w:pPr>
              <w:jc w:val="center"/>
              <w:rPr>
                <w:rFonts w:ascii="Arial" w:hAnsi="Arial" w:cs="Arial"/>
                <w:i/>
                <w:sz w:val="24"/>
                <w:szCs w:val="24"/>
              </w:rPr>
            </w:pPr>
            <w:r>
              <w:rPr>
                <w:rFonts w:ascii="Arial" w:hAnsi="Arial" w:cs="Arial"/>
                <w:i/>
                <w:sz w:val="24"/>
                <w:szCs w:val="24"/>
              </w:rPr>
              <w:t>4.35</w:t>
            </w:r>
          </w:p>
        </w:tc>
        <w:tc>
          <w:tcPr>
            <w:tcW w:w="1848" w:type="dxa"/>
            <w:tcBorders>
              <w:top w:val="nil"/>
              <w:bottom w:val="nil"/>
            </w:tcBorders>
            <w:vAlign w:val="bottom"/>
            <w:hideMark/>
          </w:tcPr>
          <w:p>
            <w:pPr>
              <w:jc w:val="center"/>
              <w:rPr>
                <w:rFonts w:ascii="Arial" w:hAnsi="Arial" w:cs="Arial"/>
                <w:i/>
                <w:sz w:val="24"/>
                <w:szCs w:val="24"/>
              </w:rPr>
            </w:pPr>
            <w:r>
              <w:rPr>
                <w:rFonts w:ascii="Arial" w:hAnsi="Arial" w:cs="Arial"/>
                <w:i/>
                <w:sz w:val="24"/>
                <w:szCs w:val="24"/>
              </w:rPr>
              <w:t>0.055.</w:t>
            </w:r>
          </w:p>
        </w:tc>
      </w:tr>
      <w:tr>
        <w:trPr>
          <w:trHeight w:val="113"/>
        </w:trPr>
        <w:tc>
          <w:tcPr>
            <w:tcW w:w="2263" w:type="dxa"/>
            <w:tcBorders>
              <w:top w:val="nil"/>
              <w:bottom w:val="single" w:sz="4" w:space="0" w:color="auto"/>
            </w:tcBorders>
            <w:hideMark/>
          </w:tcPr>
          <w:p>
            <w:pPr>
              <w:spacing w:after="0" w:line="240" w:lineRule="auto"/>
              <w:rPr>
                <w:rFonts w:ascii="Arial" w:eastAsia="Times New Roman" w:hAnsi="Arial" w:cs="Arial"/>
                <w:sz w:val="24"/>
                <w:szCs w:val="24"/>
              </w:rPr>
            </w:pPr>
          </w:p>
        </w:tc>
        <w:tc>
          <w:tcPr>
            <w:tcW w:w="3402" w:type="dxa"/>
            <w:tcBorders>
              <w:top w:val="nil"/>
              <w:bottom w:val="single" w:sz="4" w:space="0" w:color="auto"/>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2 − Chemotype 3</w:t>
            </w:r>
          </w:p>
        </w:tc>
        <w:tc>
          <w:tcPr>
            <w:tcW w:w="1418" w:type="dxa"/>
            <w:tcBorders>
              <w:top w:val="nil"/>
              <w:bottom w:val="single" w:sz="4" w:space="0" w:color="auto"/>
            </w:tcBorders>
            <w:vAlign w:val="bottom"/>
            <w:hideMark/>
          </w:tcPr>
          <w:p>
            <w:pPr>
              <w:jc w:val="center"/>
              <w:rPr>
                <w:rFonts w:ascii="Arial" w:hAnsi="Arial" w:cs="Arial"/>
                <w:sz w:val="24"/>
                <w:szCs w:val="24"/>
              </w:rPr>
            </w:pPr>
            <w:r>
              <w:rPr>
                <w:rFonts w:ascii="Arial" w:hAnsi="Arial" w:cs="Arial"/>
                <w:sz w:val="24"/>
                <w:szCs w:val="24"/>
              </w:rPr>
              <w:t>0.26</w:t>
            </w:r>
          </w:p>
        </w:tc>
        <w:tc>
          <w:tcPr>
            <w:tcW w:w="1848" w:type="dxa"/>
            <w:tcBorders>
              <w:top w:val="nil"/>
              <w:bottom w:val="single" w:sz="4" w:space="0" w:color="auto"/>
            </w:tcBorders>
            <w:vAlign w:val="bottom"/>
            <w:hideMark/>
          </w:tcPr>
          <w:p>
            <w:pPr>
              <w:jc w:val="center"/>
              <w:rPr>
                <w:rFonts w:ascii="Arial" w:hAnsi="Arial" w:cs="Arial"/>
                <w:sz w:val="24"/>
                <w:szCs w:val="24"/>
              </w:rPr>
            </w:pPr>
            <w:r>
              <w:rPr>
                <w:rFonts w:ascii="Arial" w:hAnsi="Arial" w:cs="Arial"/>
                <w:sz w:val="24"/>
                <w:szCs w:val="24"/>
              </w:rPr>
              <w:t>0.611</w:t>
            </w:r>
          </w:p>
        </w:tc>
      </w:tr>
      <w:tr>
        <w:trPr>
          <w:trHeight w:val="113"/>
        </w:trPr>
        <w:tc>
          <w:tcPr>
            <w:tcW w:w="2263" w:type="dxa"/>
            <w:tcBorders>
              <w:top w:val="single" w:sz="4" w:space="0" w:color="auto"/>
            </w:tcBorders>
            <w:hideMark/>
          </w:tcPr>
          <w:p>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Root:shoot</w:t>
            </w:r>
            <w:proofErr w:type="spellEnd"/>
            <w:r>
              <w:rPr>
                <w:rFonts w:ascii="Arial" w:eastAsia="Times New Roman" w:hAnsi="Arial" w:cs="Arial"/>
                <w:sz w:val="24"/>
                <w:szCs w:val="24"/>
              </w:rPr>
              <w:t xml:space="preserve"> ratio</w:t>
            </w:r>
          </w:p>
        </w:tc>
        <w:tc>
          <w:tcPr>
            <w:tcW w:w="3402" w:type="dxa"/>
            <w:tcBorders>
              <w:top w:val="single" w:sz="4" w:space="0" w:color="auto"/>
            </w:tcBorders>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1 − Chemotype 2</w:t>
            </w:r>
          </w:p>
        </w:tc>
        <w:tc>
          <w:tcPr>
            <w:tcW w:w="1418" w:type="dxa"/>
            <w:tcBorders>
              <w:top w:val="single" w:sz="4" w:space="0" w:color="auto"/>
            </w:tcBorders>
            <w:vAlign w:val="bottom"/>
            <w:hideMark/>
          </w:tcPr>
          <w:p>
            <w:pPr>
              <w:jc w:val="center"/>
              <w:rPr>
                <w:rFonts w:ascii="Arial" w:hAnsi="Arial" w:cs="Arial"/>
                <w:b/>
                <w:sz w:val="24"/>
                <w:szCs w:val="24"/>
              </w:rPr>
            </w:pPr>
            <w:r>
              <w:rPr>
                <w:rFonts w:ascii="Arial" w:hAnsi="Arial" w:cs="Arial"/>
                <w:b/>
                <w:sz w:val="24"/>
                <w:szCs w:val="24"/>
              </w:rPr>
              <w:t>11.49</w:t>
            </w:r>
          </w:p>
        </w:tc>
        <w:tc>
          <w:tcPr>
            <w:tcW w:w="1848" w:type="dxa"/>
            <w:tcBorders>
              <w:top w:val="single" w:sz="4" w:space="0" w:color="auto"/>
            </w:tcBorders>
            <w:vAlign w:val="bottom"/>
            <w:hideMark/>
          </w:tcPr>
          <w:p>
            <w:pPr>
              <w:jc w:val="center"/>
              <w:rPr>
                <w:rFonts w:ascii="Arial" w:hAnsi="Arial" w:cs="Arial"/>
                <w:b/>
                <w:sz w:val="24"/>
                <w:szCs w:val="24"/>
              </w:rPr>
            </w:pPr>
            <w:r>
              <w:rPr>
                <w:rFonts w:ascii="Arial" w:hAnsi="Arial" w:cs="Arial"/>
                <w:b/>
                <w:sz w:val="24"/>
                <w:szCs w:val="24"/>
              </w:rPr>
              <w:t>0.001**</w:t>
            </w:r>
          </w:p>
        </w:tc>
      </w:tr>
      <w:tr>
        <w:trPr>
          <w:trHeight w:val="113"/>
        </w:trPr>
        <w:tc>
          <w:tcPr>
            <w:tcW w:w="2263" w:type="dxa"/>
            <w:hideMark/>
          </w:tcPr>
          <w:p>
            <w:pPr>
              <w:spacing w:after="0" w:line="240" w:lineRule="auto"/>
              <w:rPr>
                <w:rFonts w:ascii="Arial" w:eastAsia="Times New Roman" w:hAnsi="Arial" w:cs="Arial"/>
                <w:sz w:val="24"/>
                <w:szCs w:val="24"/>
              </w:rPr>
            </w:pPr>
          </w:p>
        </w:tc>
        <w:tc>
          <w:tcPr>
            <w:tcW w:w="3402" w:type="dxa"/>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1 − Chemotype 3</w:t>
            </w:r>
          </w:p>
        </w:tc>
        <w:tc>
          <w:tcPr>
            <w:tcW w:w="1418" w:type="dxa"/>
            <w:vAlign w:val="bottom"/>
            <w:hideMark/>
          </w:tcPr>
          <w:p>
            <w:pPr>
              <w:jc w:val="center"/>
              <w:rPr>
                <w:rFonts w:ascii="Arial" w:hAnsi="Arial" w:cs="Arial"/>
                <w:b/>
                <w:sz w:val="24"/>
                <w:szCs w:val="24"/>
              </w:rPr>
            </w:pPr>
            <w:r>
              <w:rPr>
                <w:rFonts w:ascii="Arial" w:hAnsi="Arial" w:cs="Arial"/>
                <w:b/>
                <w:sz w:val="24"/>
                <w:szCs w:val="24"/>
              </w:rPr>
              <w:t>16.92</w:t>
            </w:r>
          </w:p>
        </w:tc>
        <w:tc>
          <w:tcPr>
            <w:tcW w:w="1848" w:type="dxa"/>
            <w:vAlign w:val="bottom"/>
            <w:hideMark/>
          </w:tcPr>
          <w:p>
            <w:pPr>
              <w:jc w:val="center"/>
              <w:rPr>
                <w:rFonts w:ascii="Arial" w:hAnsi="Arial" w:cs="Arial"/>
                <w:b/>
                <w:sz w:val="24"/>
                <w:szCs w:val="24"/>
              </w:rPr>
            </w:pPr>
            <w:r>
              <w:rPr>
                <w:rFonts w:ascii="Arial" w:hAnsi="Arial" w:cs="Arial"/>
                <w:b/>
                <w:sz w:val="24"/>
                <w:szCs w:val="24"/>
              </w:rPr>
              <w:t>&lt;0.001***</w:t>
            </w:r>
          </w:p>
        </w:tc>
      </w:tr>
      <w:tr>
        <w:trPr>
          <w:trHeight w:val="333"/>
        </w:trPr>
        <w:tc>
          <w:tcPr>
            <w:tcW w:w="2263" w:type="dxa"/>
            <w:hideMark/>
          </w:tcPr>
          <w:p>
            <w:pPr>
              <w:spacing w:after="0" w:line="240" w:lineRule="auto"/>
              <w:rPr>
                <w:rFonts w:ascii="Arial" w:eastAsia="Times New Roman" w:hAnsi="Arial" w:cs="Arial"/>
                <w:sz w:val="24"/>
                <w:szCs w:val="24"/>
              </w:rPr>
            </w:pPr>
          </w:p>
        </w:tc>
        <w:tc>
          <w:tcPr>
            <w:tcW w:w="3402" w:type="dxa"/>
            <w:hideMark/>
          </w:tcPr>
          <w:p>
            <w:pPr>
              <w:spacing w:after="0" w:line="240" w:lineRule="auto"/>
              <w:rPr>
                <w:rFonts w:ascii="Arial" w:eastAsia="Times New Roman" w:hAnsi="Arial" w:cs="Arial"/>
                <w:sz w:val="24"/>
                <w:szCs w:val="24"/>
              </w:rPr>
            </w:pPr>
            <w:r>
              <w:rPr>
                <w:rFonts w:ascii="Arial" w:eastAsia="Times New Roman" w:hAnsi="Arial" w:cs="Arial"/>
                <w:sz w:val="24"/>
                <w:szCs w:val="24"/>
              </w:rPr>
              <w:t>Chemotype 2 − Chemotype 3</w:t>
            </w:r>
          </w:p>
        </w:tc>
        <w:tc>
          <w:tcPr>
            <w:tcW w:w="1418" w:type="dxa"/>
            <w:vAlign w:val="bottom"/>
            <w:hideMark/>
          </w:tcPr>
          <w:p>
            <w:pPr>
              <w:jc w:val="center"/>
              <w:rPr>
                <w:rFonts w:ascii="Arial" w:hAnsi="Arial" w:cs="Arial"/>
                <w:sz w:val="24"/>
                <w:szCs w:val="24"/>
              </w:rPr>
            </w:pPr>
            <w:r>
              <w:rPr>
                <w:rFonts w:ascii="Arial" w:hAnsi="Arial" w:cs="Arial"/>
                <w:sz w:val="24"/>
                <w:szCs w:val="24"/>
              </w:rPr>
              <w:t>0.50</w:t>
            </w:r>
          </w:p>
        </w:tc>
        <w:tc>
          <w:tcPr>
            <w:tcW w:w="1848" w:type="dxa"/>
            <w:vAlign w:val="bottom"/>
            <w:hideMark/>
          </w:tcPr>
          <w:p>
            <w:pPr>
              <w:jc w:val="center"/>
              <w:rPr>
                <w:rFonts w:ascii="Arial" w:hAnsi="Arial" w:cs="Arial"/>
                <w:sz w:val="24"/>
                <w:szCs w:val="24"/>
              </w:rPr>
            </w:pPr>
            <w:r>
              <w:rPr>
                <w:rFonts w:ascii="Arial" w:hAnsi="Arial" w:cs="Arial"/>
                <w:sz w:val="24"/>
                <w:szCs w:val="24"/>
              </w:rPr>
              <w:t>0.479</w:t>
            </w:r>
          </w:p>
        </w:tc>
      </w:tr>
    </w:tbl>
    <w:p>
      <w:pPr>
        <w:rPr>
          <w:rFonts w:ascii="Arial" w:eastAsia="Arial" w:hAnsi="Arial" w:cs="Arial"/>
          <w:b/>
          <w:bCs/>
          <w:sz w:val="24"/>
          <w:szCs w:val="24"/>
        </w:rPr>
      </w:pPr>
    </w:p>
    <w:p>
      <w:pPr>
        <w:rPr>
          <w:rFonts w:ascii="Arial" w:eastAsia="Arial" w:hAnsi="Arial" w:cs="Arial"/>
          <w:b/>
          <w:bCs/>
          <w:sz w:val="24"/>
          <w:szCs w:val="24"/>
        </w:rPr>
      </w:pPr>
    </w:p>
    <w:p>
      <w:pPr>
        <w:spacing w:line="276" w:lineRule="auto"/>
        <w:jc w:val="both"/>
        <w:rPr>
          <w:rFonts w:ascii="Arial" w:eastAsia="Arial" w:hAnsi="Arial" w:cs="Arial"/>
          <w:b/>
          <w:bCs/>
          <w:sz w:val="24"/>
          <w:szCs w:val="24"/>
        </w:rPr>
      </w:pPr>
      <w:r>
        <w:rPr>
          <w:rFonts w:ascii="Arial" w:eastAsia="Arial" w:hAnsi="Arial" w:cs="Arial"/>
          <w:b/>
          <w:bCs/>
          <w:sz w:val="24"/>
          <w:szCs w:val="24"/>
        </w:rPr>
        <w:t>Table S1.</w:t>
      </w:r>
      <w:r>
        <w:rPr>
          <w:rFonts w:ascii="Arial" w:eastAsia="Arial" w:hAnsi="Arial" w:cs="Arial"/>
          <w:bCs/>
          <w:sz w:val="24"/>
          <w:szCs w:val="24"/>
        </w:rPr>
        <w:t xml:space="preserve"> Pairwise chemotype contrasts for root traits from generalized additive mixed models (GAMMs). Models were fit with </w:t>
      </w:r>
      <w:proofErr w:type="spellStart"/>
      <w:r>
        <w:rPr>
          <w:rFonts w:ascii="Arial" w:eastAsia="Arial" w:hAnsi="Arial" w:cs="Arial"/>
          <w:bCs/>
          <w:sz w:val="24"/>
          <w:szCs w:val="24"/>
        </w:rPr>
        <w:t>mgcv</w:t>
      </w:r>
      <w:proofErr w:type="spellEnd"/>
      <w:r>
        <w:rPr>
          <w:rFonts w:ascii="Arial" w:eastAsia="Arial" w:hAnsi="Arial" w:cs="Arial"/>
          <w:bCs/>
          <w:sz w:val="24"/>
          <w:szCs w:val="24"/>
        </w:rPr>
        <w:t xml:space="preserve"> using REML and included chemotype-specific smooths of day-of-year (factor-smooth, </w:t>
      </w:r>
      <w:r>
        <w:rPr>
          <w:rFonts w:ascii="Cambria Math" w:eastAsia="Arial" w:hAnsi="Cambria Math" w:cs="Cambria Math"/>
          <w:bCs/>
          <w:sz w:val="24"/>
          <w:szCs w:val="24"/>
        </w:rPr>
        <w:t>𝑘</w:t>
      </w:r>
      <w:r>
        <w:rPr>
          <w:rFonts w:ascii="Arial" w:eastAsia="Arial" w:hAnsi="Arial" w:cs="Arial"/>
          <w:bCs/>
          <w:sz w:val="24"/>
          <w:szCs w:val="24"/>
        </w:rPr>
        <w:t xml:space="preserve"> = 10) and a plant-level random intercept. Estimated marginal means were averaged uniformly over the observed time range. P</w:t>
      </w:r>
      <w:r>
        <w:rPr>
          <w:rFonts w:ascii="Arial" w:hAnsi="Arial" w:cs="Arial"/>
          <w:sz w:val="24"/>
          <w:szCs w:val="24"/>
        </w:rPr>
        <w:t xml:space="preserve">airwise differences were tested with </w:t>
      </w:r>
      <w:r>
        <w:rPr>
          <w:rStyle w:val="Strong"/>
          <w:rFonts w:ascii="Arial" w:hAnsi="Arial" w:cs="Arial"/>
          <w:b w:val="0"/>
          <w:sz w:val="24"/>
          <w:szCs w:val="24"/>
        </w:rPr>
        <w:t xml:space="preserve">Wald </w:t>
      </w:r>
      <w:r>
        <w:rPr>
          <w:rFonts w:ascii="Arial" w:eastAsia="Arial" w:hAnsi="Arial" w:cs="Arial"/>
          <w:bCs/>
          <w:sz w:val="24"/>
          <w:szCs w:val="24"/>
        </w:rPr>
        <w:t>χ² (</w:t>
      </w:r>
      <w:proofErr w:type="spellStart"/>
      <w:r>
        <w:rPr>
          <w:rFonts w:ascii="Arial" w:eastAsia="Arial" w:hAnsi="Arial" w:cs="Arial"/>
          <w:bCs/>
          <w:sz w:val="24"/>
          <w:szCs w:val="24"/>
        </w:rPr>
        <w:t>df</w:t>
      </w:r>
      <w:proofErr w:type="spellEnd"/>
      <w:r>
        <w:rPr>
          <w:rFonts w:ascii="Arial" w:eastAsia="Arial" w:hAnsi="Arial" w:cs="Arial"/>
          <w:bCs/>
          <w:sz w:val="24"/>
          <w:szCs w:val="24"/>
        </w:rPr>
        <w:t xml:space="preserve"> = 1) from the EMM contrasts, and </w:t>
      </w:r>
      <w:r>
        <w:rPr>
          <w:rFonts w:ascii="Arial" w:hAnsi="Arial" w:cs="Arial"/>
          <w:sz w:val="24"/>
          <w:szCs w:val="24"/>
        </w:rPr>
        <w:t xml:space="preserve">p-values were </w:t>
      </w:r>
      <w:r>
        <w:rPr>
          <w:rStyle w:val="Strong"/>
          <w:rFonts w:ascii="Arial" w:hAnsi="Arial" w:cs="Arial"/>
          <w:b w:val="0"/>
          <w:sz w:val="24"/>
          <w:szCs w:val="24"/>
        </w:rPr>
        <w:t>Benjamini-Hochberg-adjusted within trait</w:t>
      </w:r>
      <w:r>
        <w:rPr>
          <w:rFonts w:ascii="Arial" w:hAnsi="Arial" w:cs="Arial"/>
          <w:sz w:val="24"/>
          <w:szCs w:val="24"/>
        </w:rPr>
        <w:t xml:space="preserve">. We limited statistical inference to data collected between day 287 and 329 (from the first measurement until the initial harvest) as this time window provided the most complete, uninterrupted observations. </w:t>
      </w:r>
    </w:p>
    <w:p/>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AB1836E6-DAB4-4FD2-9C08-8B97E9266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style>
  <w:style w:type="character" w:customStyle="1" w:styleId="eop">
    <w:name w:val="eop"/>
    <w:basedOn w:val="DefaultParagraphFont"/>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semiHidden/>
    <w:unhideWhenUs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95082">
      <w:bodyDiv w:val="1"/>
      <w:marLeft w:val="0"/>
      <w:marRight w:val="0"/>
      <w:marTop w:val="0"/>
      <w:marBottom w:val="0"/>
      <w:divBdr>
        <w:top w:val="none" w:sz="0" w:space="0" w:color="auto"/>
        <w:left w:val="none" w:sz="0" w:space="0" w:color="auto"/>
        <w:bottom w:val="none" w:sz="0" w:space="0" w:color="auto"/>
        <w:right w:val="none" w:sz="0" w:space="0" w:color="auto"/>
      </w:divBdr>
      <w:divsChild>
        <w:div w:id="1757634941">
          <w:marLeft w:val="0"/>
          <w:marRight w:val="0"/>
          <w:marTop w:val="0"/>
          <w:marBottom w:val="0"/>
          <w:divBdr>
            <w:top w:val="none" w:sz="0" w:space="0" w:color="auto"/>
            <w:left w:val="none" w:sz="0" w:space="0" w:color="auto"/>
            <w:bottom w:val="none" w:sz="0" w:space="0" w:color="auto"/>
            <w:right w:val="none" w:sz="0" w:space="0" w:color="auto"/>
          </w:divBdr>
          <w:divsChild>
            <w:div w:id="1544830469">
              <w:marLeft w:val="0"/>
              <w:marRight w:val="0"/>
              <w:marTop w:val="0"/>
              <w:marBottom w:val="0"/>
              <w:divBdr>
                <w:top w:val="none" w:sz="0" w:space="0" w:color="auto"/>
                <w:left w:val="none" w:sz="0" w:space="0" w:color="auto"/>
                <w:bottom w:val="none" w:sz="0" w:space="0" w:color="auto"/>
                <w:right w:val="none" w:sz="0" w:space="0" w:color="auto"/>
              </w:divBdr>
              <w:divsChild>
                <w:div w:id="1025786106">
                  <w:marLeft w:val="0"/>
                  <w:marRight w:val="0"/>
                  <w:marTop w:val="0"/>
                  <w:marBottom w:val="0"/>
                  <w:divBdr>
                    <w:top w:val="none" w:sz="0" w:space="0" w:color="auto"/>
                    <w:left w:val="none" w:sz="0" w:space="0" w:color="auto"/>
                    <w:bottom w:val="none" w:sz="0" w:space="0" w:color="auto"/>
                    <w:right w:val="none" w:sz="0" w:space="0" w:color="auto"/>
                  </w:divBdr>
                  <w:divsChild>
                    <w:div w:id="1486973808">
                      <w:marLeft w:val="0"/>
                      <w:marRight w:val="0"/>
                      <w:marTop w:val="0"/>
                      <w:marBottom w:val="0"/>
                      <w:divBdr>
                        <w:top w:val="none" w:sz="0" w:space="0" w:color="auto"/>
                        <w:left w:val="none" w:sz="0" w:space="0" w:color="auto"/>
                        <w:bottom w:val="none" w:sz="0" w:space="0" w:color="auto"/>
                        <w:right w:val="none" w:sz="0" w:space="0" w:color="auto"/>
                      </w:divBdr>
                      <w:divsChild>
                        <w:div w:id="1682050948">
                          <w:marLeft w:val="0"/>
                          <w:marRight w:val="0"/>
                          <w:marTop w:val="0"/>
                          <w:marBottom w:val="0"/>
                          <w:divBdr>
                            <w:top w:val="none" w:sz="0" w:space="0" w:color="auto"/>
                            <w:left w:val="none" w:sz="0" w:space="0" w:color="auto"/>
                            <w:bottom w:val="none" w:sz="0" w:space="0" w:color="auto"/>
                            <w:right w:val="none" w:sz="0" w:space="0" w:color="auto"/>
                          </w:divBdr>
                          <w:divsChild>
                            <w:div w:id="21250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188DF-BF8B-41BB-9728-2CCF820CB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Humay Rahimova</dc:creator>
  <cp:keywords/>
  <dc:description/>
  <cp:lastModifiedBy>Humay Rahimova</cp:lastModifiedBy>
  <cp:revision>12</cp:revision>
  <dcterms:created xsi:type="dcterms:W3CDTF">2026-02-19T14:52:00Z</dcterms:created>
  <dcterms:modified xsi:type="dcterms:W3CDTF">2026-03-19T18:06:00Z</dcterms:modified>
</cp:coreProperties>
</file>