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A9264" w14:textId="77777777" w:rsidR="00244056" w:rsidRPr="00CE7532" w:rsidRDefault="00244056" w:rsidP="00244056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E7532">
        <w:rPr>
          <w:rFonts w:asciiTheme="majorHAnsi" w:hAnsiTheme="majorHAnsi" w:cstheme="majorHAnsi"/>
          <w:b/>
          <w:bCs/>
          <w:sz w:val="24"/>
          <w:szCs w:val="24"/>
        </w:rPr>
        <w:t xml:space="preserve">Ozone alters the allergenicity of </w:t>
      </w:r>
      <w:r w:rsidRPr="00CE7532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Ambrosia </w:t>
      </w:r>
      <w:proofErr w:type="spellStart"/>
      <w:r w:rsidRPr="00CE7532">
        <w:rPr>
          <w:rFonts w:asciiTheme="majorHAnsi" w:hAnsiTheme="majorHAnsi" w:cstheme="majorHAnsi"/>
          <w:b/>
          <w:bCs/>
          <w:i/>
          <w:iCs/>
          <w:sz w:val="24"/>
          <w:szCs w:val="24"/>
        </w:rPr>
        <w:t>artemisiifolia</w:t>
      </w:r>
      <w:proofErr w:type="spellEnd"/>
      <w:r w:rsidRPr="00CE7532">
        <w:rPr>
          <w:rFonts w:asciiTheme="majorHAnsi" w:hAnsiTheme="majorHAnsi" w:cstheme="majorHAnsi"/>
          <w:b/>
          <w:bCs/>
          <w:sz w:val="24"/>
          <w:szCs w:val="24"/>
        </w:rPr>
        <w:t xml:space="preserve"> pollen in a dose-dependent manner</w:t>
      </w:r>
    </w:p>
    <w:p w14:paraId="27F8367B" w14:textId="6DB786BB" w:rsidR="004A4C57" w:rsidRPr="004A4C57" w:rsidRDefault="004A4C57" w:rsidP="004A4C5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vertAlign w:val="superscript"/>
        </w:rPr>
      </w:pPr>
      <w:r w:rsidRPr="004A4C57">
        <w:rPr>
          <w:rFonts w:asciiTheme="majorHAnsi" w:hAnsiTheme="majorHAnsi" w:cstheme="majorHAnsi"/>
          <w:sz w:val="24"/>
          <w:szCs w:val="24"/>
        </w:rPr>
        <w:t>Francesca Alessandrini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1</w:t>
      </w:r>
      <w:r w:rsidRPr="004A4C57">
        <w:rPr>
          <w:rFonts w:asciiTheme="majorHAnsi" w:hAnsiTheme="majorHAnsi" w:cstheme="majorHAnsi"/>
          <w:sz w:val="24"/>
          <w:szCs w:val="24"/>
        </w:rPr>
        <w:t>, Swetlana Urban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2,3</w:t>
      </w:r>
      <w:r w:rsidRPr="004A4C57">
        <w:rPr>
          <w:rFonts w:asciiTheme="majorHAnsi" w:hAnsiTheme="majorHAnsi" w:cstheme="majorHAnsi"/>
          <w:sz w:val="24"/>
          <w:szCs w:val="24"/>
        </w:rPr>
        <w:t>, Marianna Lucio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4</w:t>
      </w:r>
      <w:r w:rsidRPr="004A4C57">
        <w:rPr>
          <w:rFonts w:asciiTheme="majorHAnsi" w:hAnsiTheme="majorHAnsi" w:cstheme="majorHAnsi"/>
          <w:sz w:val="24"/>
          <w:szCs w:val="24"/>
        </w:rPr>
        <w:t>, Jenny Uhl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4</w:t>
      </w:r>
      <w:r w:rsidRPr="004A4C57">
        <w:rPr>
          <w:rFonts w:asciiTheme="majorHAnsi" w:hAnsiTheme="majorHAnsi" w:cstheme="majorHAnsi"/>
          <w:sz w:val="24"/>
          <w:szCs w:val="24"/>
        </w:rPr>
        <w:t>, Benjamin Schnautz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1</w:t>
      </w:r>
      <w:r w:rsidRPr="004A4C57">
        <w:rPr>
          <w:rFonts w:asciiTheme="majorHAnsi" w:hAnsiTheme="majorHAnsi" w:cstheme="majorHAnsi"/>
          <w:sz w:val="24"/>
          <w:szCs w:val="24"/>
        </w:rPr>
        <w:t>,  Leopold Moelter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4A4C57">
        <w:rPr>
          <w:rFonts w:asciiTheme="majorHAnsi" w:hAnsiTheme="majorHAnsi" w:cstheme="majorHAnsi"/>
          <w:sz w:val="24"/>
          <w:szCs w:val="24"/>
        </w:rPr>
        <w:t>, Denise Rauer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2,3</w:t>
      </w:r>
      <w:r w:rsidRPr="004A4C57">
        <w:rPr>
          <w:rFonts w:asciiTheme="majorHAnsi" w:hAnsiTheme="majorHAnsi" w:cstheme="majorHAnsi"/>
          <w:sz w:val="24"/>
          <w:szCs w:val="24"/>
        </w:rPr>
        <w:t>, Maria Wimmer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1</w:t>
      </w:r>
      <w:r w:rsidRPr="004A4C57">
        <w:rPr>
          <w:rFonts w:asciiTheme="majorHAnsi" w:hAnsiTheme="majorHAnsi" w:cstheme="majorHAnsi"/>
          <w:sz w:val="24"/>
          <w:szCs w:val="24"/>
        </w:rPr>
        <w:t>, Annika Eggestein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2,3</w:t>
      </w:r>
      <w:r w:rsidRPr="004A4C57">
        <w:rPr>
          <w:rFonts w:asciiTheme="majorHAnsi" w:hAnsiTheme="majorHAnsi" w:cstheme="majorHAnsi"/>
          <w:sz w:val="24"/>
          <w:szCs w:val="24"/>
        </w:rPr>
        <w:t>, Ulrike Frank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5</w:t>
      </w:r>
      <w:r w:rsidRPr="004A4C57">
        <w:rPr>
          <w:rFonts w:asciiTheme="majorHAnsi" w:hAnsiTheme="majorHAnsi" w:cstheme="majorHAnsi"/>
          <w:sz w:val="24"/>
          <w:szCs w:val="24"/>
        </w:rPr>
        <w:t>, Dieter Ernst</w:t>
      </w:r>
      <w:r w:rsidRPr="004A4C57">
        <w:rPr>
          <w:rFonts w:asciiTheme="majorHAnsi" w:hAnsiTheme="majorHAnsi" w:cstheme="majorHAnsi"/>
          <w:sz w:val="24"/>
          <w:szCs w:val="24"/>
          <w:vertAlign w:val="superscript"/>
          <w:lang w:val="en-GB"/>
        </w:rPr>
        <w:t>5</w:t>
      </w:r>
      <w:r w:rsidRPr="004A4C57">
        <w:rPr>
          <w:rFonts w:asciiTheme="majorHAnsi" w:hAnsiTheme="majorHAnsi" w:cstheme="majorHAnsi"/>
          <w:sz w:val="24"/>
          <w:szCs w:val="24"/>
        </w:rPr>
        <w:t xml:space="preserve">, </w:t>
      </w:r>
      <w:r w:rsidRPr="004A4C57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Jana Barbro Winkler</w:t>
      </w:r>
      <w:r w:rsidRPr="004A4C57">
        <w:rPr>
          <w:rFonts w:asciiTheme="majorHAnsi" w:hAnsiTheme="majorHAnsi" w:cstheme="majorHAnsi"/>
          <w:sz w:val="24"/>
          <w:szCs w:val="24"/>
          <w:vertAlign w:val="superscript"/>
          <w:lang w:val="en-GB"/>
        </w:rPr>
        <w:t>6</w:t>
      </w:r>
      <w:r w:rsidRPr="004A4C57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, Athanasios Damialis</w:t>
      </w:r>
      <w:r w:rsidRPr="004A4C57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  <w:vertAlign w:val="superscript"/>
        </w:rPr>
        <w:t>7</w:t>
      </w:r>
      <w:r w:rsidRPr="004A4C57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, </w:t>
      </w:r>
      <w:r w:rsidRPr="004A4C57">
        <w:rPr>
          <w:rFonts w:asciiTheme="majorHAnsi" w:hAnsiTheme="majorHAnsi" w:cstheme="majorHAnsi"/>
          <w:sz w:val="24"/>
          <w:szCs w:val="24"/>
        </w:rPr>
        <w:t>Lorenz Aglas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8</w:t>
      </w:r>
      <w:r w:rsidRPr="004A4C57">
        <w:rPr>
          <w:rFonts w:asciiTheme="majorHAnsi" w:hAnsiTheme="majorHAnsi" w:cstheme="majorHAnsi"/>
          <w:sz w:val="24"/>
          <w:szCs w:val="24"/>
        </w:rPr>
        <w:t>, Fatima Ferreira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9</w:t>
      </w:r>
      <w:r w:rsidRPr="004A4C57">
        <w:rPr>
          <w:rFonts w:asciiTheme="majorHAnsi" w:hAnsiTheme="majorHAnsi" w:cstheme="majorHAnsi"/>
          <w:sz w:val="24"/>
          <w:szCs w:val="24"/>
        </w:rPr>
        <w:t>, Heidrun Behrendt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1</w:t>
      </w:r>
      <w:r w:rsidRPr="004A4C57">
        <w:rPr>
          <w:rFonts w:asciiTheme="majorHAnsi" w:hAnsiTheme="majorHAnsi" w:cstheme="majorHAnsi"/>
          <w:sz w:val="24"/>
          <w:szCs w:val="24"/>
        </w:rPr>
        <w:t>, Jörg-Peter Schnitzler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6</w:t>
      </w:r>
      <w:r w:rsidRPr="004A4C57">
        <w:rPr>
          <w:rFonts w:asciiTheme="majorHAnsi" w:hAnsiTheme="majorHAnsi" w:cstheme="majorHAnsi"/>
          <w:sz w:val="24"/>
          <w:szCs w:val="24"/>
        </w:rPr>
        <w:t>, Philippe Schmitt-Kopplin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4</w:t>
      </w:r>
      <w:r w:rsidRPr="004A4C57">
        <w:rPr>
          <w:rFonts w:asciiTheme="majorHAnsi" w:hAnsiTheme="majorHAnsi" w:cstheme="majorHAnsi"/>
          <w:sz w:val="24"/>
          <w:szCs w:val="24"/>
        </w:rPr>
        <w:t>, Carsten B. Schmidt-Weber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1,10</w:t>
      </w:r>
      <w:r w:rsidRPr="004A4C57">
        <w:rPr>
          <w:rFonts w:asciiTheme="majorHAnsi" w:hAnsiTheme="majorHAnsi" w:cstheme="majorHAnsi"/>
          <w:sz w:val="24"/>
          <w:szCs w:val="24"/>
        </w:rPr>
        <w:t>, Claudia Traidl-Hoffmann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2,3,11</w:t>
      </w:r>
      <w:r w:rsidRPr="004A4C57">
        <w:rPr>
          <w:rFonts w:asciiTheme="majorHAnsi" w:hAnsiTheme="majorHAnsi" w:cstheme="majorHAnsi"/>
          <w:sz w:val="24"/>
          <w:szCs w:val="24"/>
        </w:rPr>
        <w:t>, Andrea Ghirardo*</w:t>
      </w:r>
      <w:r w:rsidR="005B0466">
        <w:rPr>
          <w:rFonts w:asciiTheme="majorHAnsi" w:hAnsiTheme="majorHAnsi" w:cstheme="majorHAnsi"/>
          <w:sz w:val="24"/>
          <w:szCs w:val="24"/>
          <w:vertAlign w:val="superscript"/>
        </w:rPr>
        <w:t>6</w:t>
      </w:r>
      <w:r w:rsidRPr="004A4C57">
        <w:rPr>
          <w:rFonts w:asciiTheme="majorHAnsi" w:hAnsiTheme="majorHAnsi" w:cstheme="majorHAnsi"/>
          <w:sz w:val="24"/>
          <w:szCs w:val="24"/>
        </w:rPr>
        <w:t>, Stefanie Gilles*</w:t>
      </w:r>
      <w:r w:rsidRPr="004A4C57">
        <w:rPr>
          <w:rFonts w:asciiTheme="majorHAnsi" w:hAnsiTheme="majorHAnsi" w:cstheme="majorHAnsi"/>
          <w:sz w:val="24"/>
          <w:szCs w:val="24"/>
          <w:vertAlign w:val="superscript"/>
        </w:rPr>
        <w:t>2,3</w:t>
      </w:r>
    </w:p>
    <w:p w14:paraId="784ECD45" w14:textId="77777777" w:rsidR="004A4C57" w:rsidRPr="004A4C57" w:rsidRDefault="004A4C57" w:rsidP="004A4C5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225BFF0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</w:rPr>
      </w:pPr>
      <w:r w:rsidRPr="004A4C57">
        <w:rPr>
          <w:rFonts w:asciiTheme="majorHAnsi" w:hAnsiTheme="majorHAnsi" w:cstheme="majorHAnsi"/>
          <w:sz w:val="24"/>
          <w:szCs w:val="24"/>
        </w:rPr>
        <w:t>Center of Allergy &amp; Environment (ZAUM), Technical University of Munich (TUM) and Helmholtz Munich, German Research Center for Environmental Health, Germany</w:t>
      </w:r>
    </w:p>
    <w:p w14:paraId="7D411501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  <w:lang w:val="en-GB"/>
        </w:rPr>
        <w:t>Institute of Environmental Medicine and Integrative Health, Faculty of Medicine, University Hospital Augsburg, Augsburg, Germany</w:t>
      </w:r>
    </w:p>
    <w:p w14:paraId="44CFB7C2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</w:rPr>
      </w:pPr>
      <w:r w:rsidRPr="004A4C57">
        <w:rPr>
          <w:rFonts w:asciiTheme="majorHAnsi" w:hAnsiTheme="majorHAnsi" w:cstheme="majorHAnsi"/>
          <w:sz w:val="24"/>
          <w:szCs w:val="24"/>
        </w:rPr>
        <w:t>Institute of Environmental Medicine, Helmholtz Zentrum Munich, German Research Center for Environmental Health, Germany</w:t>
      </w:r>
    </w:p>
    <w:p w14:paraId="6FC969B6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  <w:lang w:val="en-GB"/>
        </w:rPr>
        <w:t xml:space="preserve">Research Unit Analytical Biogeochemistry (BGC), Helmholtz Munich, </w:t>
      </w:r>
      <w:proofErr w:type="spellStart"/>
      <w:r w:rsidRPr="004A4C57">
        <w:rPr>
          <w:rFonts w:asciiTheme="majorHAnsi" w:hAnsiTheme="majorHAnsi" w:cstheme="majorHAnsi"/>
          <w:sz w:val="24"/>
          <w:szCs w:val="24"/>
          <w:lang w:val="en-GB"/>
        </w:rPr>
        <w:t>Neuherberg</w:t>
      </w:r>
      <w:proofErr w:type="spellEnd"/>
      <w:r w:rsidRPr="004A4C57">
        <w:rPr>
          <w:rFonts w:asciiTheme="majorHAnsi" w:hAnsiTheme="majorHAnsi" w:cstheme="majorHAnsi"/>
          <w:sz w:val="24"/>
          <w:szCs w:val="24"/>
          <w:lang w:val="en-GB"/>
        </w:rPr>
        <w:t>, Germany</w:t>
      </w:r>
    </w:p>
    <w:p w14:paraId="1CE95BF6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  <w:lang w:val="en-GB"/>
        </w:rPr>
        <w:t xml:space="preserve">Institute of Biochemical Plant Pathology (BIOP), Helmholtz Munich, </w:t>
      </w:r>
      <w:proofErr w:type="spellStart"/>
      <w:r w:rsidRPr="004A4C57">
        <w:rPr>
          <w:rFonts w:asciiTheme="majorHAnsi" w:hAnsiTheme="majorHAnsi" w:cstheme="majorHAnsi"/>
          <w:sz w:val="24"/>
          <w:szCs w:val="24"/>
          <w:lang w:val="en-GB"/>
        </w:rPr>
        <w:t>Neuherberg</w:t>
      </w:r>
      <w:proofErr w:type="spellEnd"/>
      <w:r w:rsidRPr="004A4C57">
        <w:rPr>
          <w:rFonts w:asciiTheme="majorHAnsi" w:hAnsiTheme="majorHAnsi" w:cstheme="majorHAnsi"/>
          <w:sz w:val="24"/>
          <w:szCs w:val="24"/>
          <w:lang w:val="en-GB"/>
        </w:rPr>
        <w:t>, Germany</w:t>
      </w:r>
    </w:p>
    <w:p w14:paraId="3F79B51F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</w:rPr>
        <w:t xml:space="preserve">Research Unit Environmental Simulation, Helmholtz Munich, </w:t>
      </w:r>
      <w:proofErr w:type="spellStart"/>
      <w:r w:rsidRPr="004A4C57" w:rsidDel="006D02A5">
        <w:rPr>
          <w:rFonts w:asciiTheme="majorHAnsi" w:hAnsiTheme="majorHAnsi" w:cstheme="majorHAnsi"/>
          <w:sz w:val="24"/>
          <w:szCs w:val="24"/>
        </w:rPr>
        <w:t>Neuherberg</w:t>
      </w:r>
      <w:proofErr w:type="spellEnd"/>
      <w:r w:rsidRPr="004A4C57">
        <w:rPr>
          <w:rFonts w:asciiTheme="majorHAnsi" w:hAnsiTheme="majorHAnsi" w:cstheme="majorHAnsi"/>
          <w:sz w:val="24"/>
          <w:szCs w:val="24"/>
        </w:rPr>
        <w:t>, Germany</w:t>
      </w:r>
    </w:p>
    <w:p w14:paraId="3B264E6A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  <w:lang w:val="en-GB"/>
        </w:rPr>
        <w:t>Terrestrial Ecology and Climate Change, Department of Ecology, School of Biology, Faculty of Sciences, Aristotle University of Thessaloniki, Thessaloniki, Greece</w:t>
      </w:r>
    </w:p>
    <w:p w14:paraId="479AFE6A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</w:rPr>
        <w:t>Human Microbiome (HUMI) Research Program, Faculty of Medicine, University of Helsinki, Helsinki, Finland</w:t>
      </w:r>
    </w:p>
    <w:p w14:paraId="201F1468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  <w:lang w:val="en-GB"/>
        </w:rPr>
        <w:t>Department of Biosciences, University of Salzburg, Salzburg, Austria</w:t>
      </w:r>
    </w:p>
    <w:p w14:paraId="635EA2D6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</w:rPr>
      </w:pPr>
      <w:r w:rsidRPr="004A4C57">
        <w:rPr>
          <w:rFonts w:asciiTheme="majorHAnsi" w:hAnsiTheme="majorHAnsi" w:cstheme="majorHAnsi"/>
          <w:sz w:val="24"/>
          <w:szCs w:val="24"/>
        </w:rPr>
        <w:t>Member of the German Center of Lung Research (DZL), Munich, Germany</w:t>
      </w:r>
    </w:p>
    <w:p w14:paraId="4099C967" w14:textId="77777777" w:rsidR="004A4C57" w:rsidRPr="004A4C57" w:rsidRDefault="004A4C57" w:rsidP="004A4C57">
      <w:pPr>
        <w:pStyle w:val="Listenabsatz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hAnsiTheme="majorHAnsi" w:cstheme="majorHAnsi"/>
          <w:sz w:val="24"/>
          <w:szCs w:val="24"/>
          <w:lang w:val="en-GB"/>
        </w:rPr>
      </w:pPr>
      <w:r w:rsidRPr="004A4C57">
        <w:rPr>
          <w:rFonts w:asciiTheme="majorHAnsi" w:hAnsiTheme="majorHAnsi" w:cstheme="majorHAnsi"/>
          <w:sz w:val="24"/>
          <w:szCs w:val="24"/>
          <w:lang w:val="en-GB"/>
        </w:rPr>
        <w:t xml:space="preserve">Christine-Kühne </w:t>
      </w:r>
      <w:proofErr w:type="spellStart"/>
      <w:r w:rsidRPr="004A4C57">
        <w:rPr>
          <w:rFonts w:asciiTheme="majorHAnsi" w:hAnsiTheme="majorHAnsi" w:cstheme="majorHAnsi"/>
          <w:sz w:val="24"/>
          <w:szCs w:val="24"/>
          <w:lang w:val="en-GB"/>
        </w:rPr>
        <w:t>Center</w:t>
      </w:r>
      <w:proofErr w:type="spellEnd"/>
      <w:r w:rsidRPr="004A4C57">
        <w:rPr>
          <w:rFonts w:asciiTheme="majorHAnsi" w:hAnsiTheme="majorHAnsi" w:cstheme="majorHAnsi"/>
          <w:sz w:val="24"/>
          <w:szCs w:val="24"/>
          <w:lang w:val="en-GB"/>
        </w:rPr>
        <w:t xml:space="preserve"> for Allergy Research and Education (CK-Care), Davos, Switzerland</w:t>
      </w:r>
    </w:p>
    <w:p w14:paraId="7968D38C" w14:textId="77777777" w:rsidR="00244056" w:rsidRPr="004A4C57" w:rsidRDefault="00244056" w:rsidP="00244056">
      <w:pPr>
        <w:spacing w:after="0" w:line="480" w:lineRule="auto"/>
        <w:jc w:val="both"/>
        <w:rPr>
          <w:rFonts w:asciiTheme="majorHAnsi" w:hAnsiTheme="majorHAnsi" w:cstheme="majorHAnsi"/>
          <w:sz w:val="24"/>
          <w:szCs w:val="24"/>
          <w:lang w:val="en-GB"/>
        </w:rPr>
      </w:pPr>
    </w:p>
    <w:p w14:paraId="45889553" w14:textId="2A4144C8" w:rsidR="00244056" w:rsidRPr="00CE7532" w:rsidRDefault="00244056" w:rsidP="00244056">
      <w:pPr>
        <w:spacing w:after="0"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7532">
        <w:rPr>
          <w:rFonts w:asciiTheme="majorHAnsi" w:hAnsiTheme="majorHAnsi" w:cstheme="majorHAnsi"/>
          <w:sz w:val="24"/>
          <w:szCs w:val="24"/>
        </w:rPr>
        <w:t>*</w:t>
      </w:r>
      <w:proofErr w:type="gramStart"/>
      <w:r w:rsidRPr="00CE7532">
        <w:rPr>
          <w:rFonts w:asciiTheme="majorHAnsi" w:hAnsiTheme="majorHAnsi" w:cstheme="majorHAnsi"/>
          <w:sz w:val="24"/>
          <w:szCs w:val="24"/>
        </w:rPr>
        <w:t>equal</w:t>
      </w:r>
      <w:proofErr w:type="gramEnd"/>
      <w:r w:rsidRPr="00CE7532">
        <w:rPr>
          <w:rFonts w:asciiTheme="majorHAnsi" w:hAnsiTheme="majorHAnsi" w:cstheme="majorHAnsi"/>
          <w:sz w:val="24"/>
          <w:szCs w:val="24"/>
        </w:rPr>
        <w:t xml:space="preserve"> contribut</w:t>
      </w:r>
      <w:r w:rsidR="003D0044" w:rsidRPr="00CE7532">
        <w:rPr>
          <w:rFonts w:asciiTheme="majorHAnsi" w:hAnsiTheme="majorHAnsi" w:cstheme="majorHAnsi"/>
          <w:sz w:val="24"/>
          <w:szCs w:val="24"/>
        </w:rPr>
        <w:t>ion</w:t>
      </w:r>
    </w:p>
    <w:p w14:paraId="01B58F4F" w14:textId="77777777" w:rsidR="00244056" w:rsidRDefault="00244056">
      <w:pPr>
        <w:spacing w:after="0"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2FBBA83" w14:textId="534463CD" w:rsidR="00216520" w:rsidRPr="007B198C" w:rsidRDefault="00E53F94">
      <w:pPr>
        <w:spacing w:after="0"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B198C">
        <w:rPr>
          <w:rFonts w:asciiTheme="majorHAnsi" w:hAnsiTheme="majorHAnsi" w:cstheme="majorHAnsi"/>
          <w:sz w:val="24"/>
          <w:szCs w:val="24"/>
        </w:rPr>
        <w:t xml:space="preserve">Address correspondence to: </w:t>
      </w:r>
    </w:p>
    <w:p w14:paraId="22FBBA84" w14:textId="7E5737F8" w:rsidR="00216520" w:rsidRPr="00C6667F" w:rsidRDefault="00E53F9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6667F">
        <w:rPr>
          <w:rFonts w:asciiTheme="majorHAnsi" w:hAnsiTheme="majorHAnsi" w:cstheme="majorHAnsi"/>
          <w:sz w:val="24"/>
          <w:szCs w:val="24"/>
        </w:rPr>
        <w:t>Prof. Dr. Francesca Alessandrini</w:t>
      </w:r>
    </w:p>
    <w:p w14:paraId="22FBBA85" w14:textId="105DC2F3" w:rsidR="00216520" w:rsidRDefault="00E53F9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Center of Allergy &amp; Environment (ZAUM), Technical University of Munich and Helmholtz Munich, German Research Center for Environmental Health</w:t>
      </w:r>
    </w:p>
    <w:p w14:paraId="22FBBA86" w14:textId="77777777" w:rsidR="00216520" w:rsidRDefault="00E53F9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de-DE"/>
        </w:rPr>
        <w:t>Ingolstaedter</w:t>
      </w:r>
      <w:proofErr w:type="spellEnd"/>
      <w:r>
        <w:rPr>
          <w:rFonts w:asciiTheme="majorHAnsi" w:hAnsiTheme="majorHAnsi" w:cstheme="majorHAnsi"/>
          <w:sz w:val="24"/>
          <w:szCs w:val="24"/>
          <w:lang w:val="de-DE"/>
        </w:rPr>
        <w:t xml:space="preserve"> Landstr. 1</w:t>
      </w:r>
    </w:p>
    <w:p w14:paraId="22FBBA87" w14:textId="77777777" w:rsidR="00216520" w:rsidRDefault="00E53F9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r>
        <w:rPr>
          <w:rFonts w:asciiTheme="majorHAnsi" w:hAnsiTheme="majorHAnsi" w:cstheme="majorHAnsi"/>
          <w:sz w:val="24"/>
          <w:szCs w:val="24"/>
          <w:lang w:val="de-DE"/>
        </w:rPr>
        <w:t>D-85764 Neuherberg, Germany</w:t>
      </w:r>
    </w:p>
    <w:p w14:paraId="22FBBA88" w14:textId="77777777" w:rsidR="00216520" w:rsidRDefault="00E53F9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r>
        <w:rPr>
          <w:rFonts w:asciiTheme="majorHAnsi" w:hAnsiTheme="majorHAnsi" w:cstheme="majorHAnsi"/>
          <w:sz w:val="24"/>
          <w:szCs w:val="24"/>
          <w:lang w:val="de-DE"/>
        </w:rPr>
        <w:t>Tel: +49 (0)89 3187-2524</w:t>
      </w:r>
    </w:p>
    <w:p w14:paraId="22FBBA8A" w14:textId="73FF7B9F" w:rsidR="00216520" w:rsidRPr="00762010" w:rsidRDefault="00E53F94" w:rsidP="00762010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263E4C">
        <w:rPr>
          <w:rFonts w:asciiTheme="majorHAnsi" w:hAnsiTheme="majorHAnsi" w:cstheme="majorHAnsi"/>
          <w:sz w:val="24"/>
          <w:szCs w:val="24"/>
          <w:lang w:val="it-IT"/>
        </w:rPr>
        <w:t>e-mail: franc</w:t>
      </w:r>
      <w:r w:rsidR="00744E77">
        <w:rPr>
          <w:rFonts w:asciiTheme="majorHAnsi" w:hAnsiTheme="majorHAnsi" w:cstheme="majorHAnsi"/>
          <w:sz w:val="24"/>
          <w:szCs w:val="24"/>
          <w:lang w:val="it-IT"/>
        </w:rPr>
        <w:t>esca</w:t>
      </w:r>
      <w:r w:rsidR="00B91773" w:rsidRPr="00263E4C">
        <w:rPr>
          <w:rFonts w:asciiTheme="majorHAnsi" w:hAnsiTheme="majorHAnsi" w:cstheme="majorHAnsi"/>
          <w:sz w:val="24"/>
          <w:szCs w:val="24"/>
          <w:lang w:val="it-IT"/>
        </w:rPr>
        <w:t>.alessandrini</w:t>
      </w:r>
      <w:r w:rsidRPr="00263E4C">
        <w:rPr>
          <w:rFonts w:asciiTheme="majorHAnsi" w:hAnsiTheme="majorHAnsi" w:cstheme="majorHAnsi"/>
          <w:sz w:val="24"/>
          <w:szCs w:val="24"/>
          <w:lang w:val="it-IT"/>
        </w:rPr>
        <w:t>@</w:t>
      </w:r>
      <w:r w:rsidR="00744E77">
        <w:rPr>
          <w:rFonts w:asciiTheme="majorHAnsi" w:hAnsiTheme="majorHAnsi" w:cstheme="majorHAnsi"/>
          <w:sz w:val="24"/>
          <w:szCs w:val="24"/>
          <w:lang w:val="it-IT"/>
        </w:rPr>
        <w:t>tum.de</w:t>
      </w:r>
      <w:r w:rsidRPr="00263E4C">
        <w:rPr>
          <w:rFonts w:asciiTheme="majorHAnsi" w:hAnsiTheme="majorHAnsi" w:cstheme="majorHAnsi"/>
          <w:b/>
          <w:sz w:val="24"/>
          <w:szCs w:val="24"/>
          <w:lang w:val="it-IT"/>
        </w:rPr>
        <w:br w:type="page"/>
      </w:r>
    </w:p>
    <w:p w14:paraId="22FBBA8B" w14:textId="77777777" w:rsidR="00216520" w:rsidRDefault="00E53F94" w:rsidP="006778B8">
      <w:pPr>
        <w:spacing w:after="0" w:line="360" w:lineRule="auto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>Supplementary methods</w:t>
      </w:r>
    </w:p>
    <w:p w14:paraId="040CBEF7" w14:textId="77777777" w:rsidR="00EC6612" w:rsidRDefault="00EC6612" w:rsidP="006778B8">
      <w:pPr>
        <w:spacing w:after="0" w:line="360" w:lineRule="auto"/>
        <w:rPr>
          <w:sz w:val="24"/>
          <w:szCs w:val="24"/>
        </w:rPr>
      </w:pPr>
    </w:p>
    <w:p w14:paraId="08B65683" w14:textId="77777777" w:rsidR="00244E74" w:rsidRPr="00FA726A" w:rsidRDefault="00244E74" w:rsidP="00FA726A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A726A">
        <w:rPr>
          <w:rFonts w:asciiTheme="majorHAnsi" w:hAnsiTheme="majorHAnsi" w:cstheme="majorHAnsi"/>
          <w:b/>
          <w:bCs/>
          <w:sz w:val="24"/>
          <w:szCs w:val="24"/>
        </w:rPr>
        <w:t>Analysis of pollen extracts</w:t>
      </w:r>
    </w:p>
    <w:p w14:paraId="6FF2F103" w14:textId="65976620" w:rsidR="00D104CD" w:rsidRPr="00D104CD" w:rsidRDefault="00B06106" w:rsidP="00D104CD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A726A">
        <w:rPr>
          <w:rFonts w:asciiTheme="majorHAnsi" w:hAnsiTheme="majorHAnsi" w:cstheme="majorHAnsi"/>
          <w:sz w:val="24"/>
          <w:szCs w:val="24"/>
        </w:rPr>
        <w:t xml:space="preserve">The pollen extracts were analyzed for total protein content (Coomassie assay kit, </w:t>
      </w:r>
      <w:proofErr w:type="spellStart"/>
      <w:r w:rsidRPr="00FA726A">
        <w:rPr>
          <w:rFonts w:asciiTheme="majorHAnsi" w:hAnsiTheme="majorHAnsi" w:cstheme="majorHAnsi"/>
          <w:sz w:val="24"/>
          <w:szCs w:val="24"/>
        </w:rPr>
        <w:t>Thermo</w:t>
      </w:r>
      <w:proofErr w:type="spellEnd"/>
      <w:r w:rsidRPr="00FA726A">
        <w:rPr>
          <w:rFonts w:asciiTheme="majorHAnsi" w:hAnsiTheme="majorHAnsi" w:cstheme="majorHAnsi"/>
          <w:sz w:val="24"/>
          <w:szCs w:val="24"/>
        </w:rPr>
        <w:t xml:space="preserve"> Fisher Scientific, Waltham, MA, USA), PGE</w:t>
      </w:r>
      <w:r w:rsidRPr="00FA726A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FA726A">
        <w:rPr>
          <w:rFonts w:asciiTheme="majorHAnsi" w:hAnsiTheme="majorHAnsi" w:cstheme="majorHAnsi"/>
          <w:sz w:val="24"/>
          <w:szCs w:val="24"/>
        </w:rPr>
        <w:t>, LTB</w:t>
      </w:r>
      <w:r w:rsidRPr="00FA726A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="008E2415">
        <w:rPr>
          <w:rFonts w:asciiTheme="majorHAnsi" w:hAnsiTheme="majorHAnsi" w:cstheme="majorHAnsi"/>
          <w:sz w:val="24"/>
          <w:szCs w:val="24"/>
        </w:rPr>
        <w:t xml:space="preserve">, </w:t>
      </w:r>
      <w:r w:rsidRPr="00FA726A">
        <w:rPr>
          <w:rFonts w:asciiTheme="majorHAnsi" w:hAnsiTheme="majorHAnsi" w:cstheme="majorHAnsi"/>
          <w:sz w:val="24"/>
          <w:szCs w:val="24"/>
        </w:rPr>
        <w:t>adenosine and LPS content [Limulus amebocyte lysate (LAL) assay (</w:t>
      </w:r>
      <w:proofErr w:type="spellStart"/>
      <w:r w:rsidRPr="00FA726A">
        <w:rPr>
          <w:rFonts w:asciiTheme="majorHAnsi" w:hAnsiTheme="majorHAnsi" w:cstheme="majorHAnsi"/>
          <w:sz w:val="24"/>
          <w:szCs w:val="24"/>
        </w:rPr>
        <w:t>Thermo</w:t>
      </w:r>
      <w:proofErr w:type="spellEnd"/>
      <w:r w:rsidRPr="00FA726A">
        <w:rPr>
          <w:rFonts w:asciiTheme="majorHAnsi" w:hAnsiTheme="majorHAnsi" w:cstheme="majorHAnsi"/>
          <w:sz w:val="24"/>
          <w:szCs w:val="24"/>
        </w:rPr>
        <w:t xml:space="preserve"> Fisher Scientific)]. All assays were performed according to the manufacturer’s protocol. 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The major ragweed allergen Amb a 1 was quantified by sandwich ELISA. </w:t>
      </w:r>
      <w:r w:rsidR="004E215B">
        <w:rPr>
          <w:rFonts w:asciiTheme="majorHAnsi" w:hAnsiTheme="majorHAnsi" w:cstheme="majorHAnsi"/>
          <w:sz w:val="24"/>
          <w:szCs w:val="24"/>
        </w:rPr>
        <w:t xml:space="preserve">For this purpose, 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96-well plates (F96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MaxisorpTM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NUNC-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Immuno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Plate,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Thermo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Fisher Scientific, Roskilde, Denmark) were coated over night at 4°C with 2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g/ml of a murine monoclonal antibody against Amb a 1 (in-house) in 1x phosphate buffered saline (PBS), 50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l per well. Plates were blocked with 200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l Tris buffered saline (TBS), pH 7.4, 0.05% Tween (TBST) and 0.5% BSA for 2 h at RT. Ragweed extracts were titrated 1:4, starting at a concentration of 1000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g/ml and incubated for 2 h at RT. The plates were further incubated with a polyclonal rabbit anti-Amb a 1 antibody </w:t>
      </w:r>
      <w:r w:rsidR="00A21731">
        <w:rPr>
          <w:rFonts w:asciiTheme="majorHAnsi" w:hAnsiTheme="majorHAnsi" w:cstheme="majorHAnsi"/>
          <w:sz w:val="24"/>
          <w:szCs w:val="24"/>
        </w:rPr>
        <w:t>(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Cat# PA-AM1,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InBio</w:t>
      </w:r>
      <w:proofErr w:type="spellEnd"/>
      <w:r w:rsidR="0020524A">
        <w:rPr>
          <w:rFonts w:asciiTheme="majorHAnsi" w:hAnsiTheme="majorHAnsi" w:cstheme="majorHAnsi"/>
          <w:sz w:val="24"/>
          <w:szCs w:val="24"/>
        </w:rPr>
        <w:t>, Cardiff, UK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) diluted 1:1000, for 2 h at RT, followed by incubation with a horseradish peroxidase (HRP)-conjugated goat anti-rabbit IgG antibody (Peroxidase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AffiniPure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goat anti-rabbit IgG, Fc fragment specific: whole goat IgG, Cat# AB_2337937, Jackson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ImmunoResearch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Inc.</w:t>
      </w:r>
      <w:r w:rsidR="00237194">
        <w:rPr>
          <w:rFonts w:asciiTheme="majorHAnsi" w:hAnsiTheme="majorHAnsi" w:cstheme="majorHAnsi"/>
          <w:sz w:val="24"/>
          <w:szCs w:val="24"/>
        </w:rPr>
        <w:t>, Ely, UK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), diluted 1:2500, for 1 h at RT. For the quantification, the plates were incubated with 50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l 3,3`,5,5`-tetramethylbenzidine (TMB) (KPL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SureBlueTM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TMB Microwell Peroxidase Substrate, Cat# 5120-0077, Lot#10560195, </w:t>
      </w:r>
      <w:proofErr w:type="spellStart"/>
      <w:r w:rsidR="00D104CD" w:rsidRPr="008E2415">
        <w:rPr>
          <w:rFonts w:asciiTheme="majorHAnsi" w:hAnsiTheme="majorHAnsi" w:cstheme="majorHAnsi"/>
          <w:sz w:val="24"/>
          <w:szCs w:val="24"/>
        </w:rPr>
        <w:t>SeraCare</w:t>
      </w:r>
      <w:proofErr w:type="spellEnd"/>
      <w:r w:rsidR="00D104CD" w:rsidRPr="008E2415">
        <w:rPr>
          <w:rFonts w:asciiTheme="majorHAnsi" w:hAnsiTheme="majorHAnsi" w:cstheme="majorHAnsi"/>
          <w:sz w:val="24"/>
          <w:szCs w:val="24"/>
        </w:rPr>
        <w:t xml:space="preserve"> Life Sciences Inc.</w:t>
      </w:r>
      <w:r w:rsidR="006B7DFE">
        <w:rPr>
          <w:rFonts w:asciiTheme="majorHAnsi" w:hAnsiTheme="majorHAnsi" w:cstheme="majorHAnsi"/>
          <w:sz w:val="24"/>
          <w:szCs w:val="24"/>
        </w:rPr>
        <w:t>, Milford, MA, USA</w:t>
      </w:r>
      <w:r w:rsidR="00D104CD" w:rsidRPr="008E2415">
        <w:rPr>
          <w:rFonts w:asciiTheme="majorHAnsi" w:hAnsiTheme="majorHAnsi" w:cstheme="majorHAnsi"/>
          <w:sz w:val="24"/>
          <w:szCs w:val="24"/>
        </w:rPr>
        <w:t xml:space="preserve">) for 10 minutes in the dark. The reaction was stopped by adding 50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8E2415">
        <w:rPr>
          <w:rFonts w:asciiTheme="majorHAnsi" w:hAnsiTheme="majorHAnsi" w:cstheme="majorHAnsi"/>
          <w:sz w:val="24"/>
          <w:szCs w:val="24"/>
        </w:rPr>
        <w:t>l 1 N HCl followed by OD measurement at 450 nm with a plate reader (Tecan Infinite®</w:t>
      </w:r>
      <w:r w:rsidR="00D104CD" w:rsidRPr="00D104CD">
        <w:rPr>
          <w:rFonts w:asciiTheme="majorHAnsi" w:hAnsiTheme="majorHAnsi" w:cstheme="majorHAnsi"/>
          <w:sz w:val="24"/>
          <w:szCs w:val="24"/>
        </w:rPr>
        <w:t xml:space="preserve">M200 Pro Microplate Reader, </w:t>
      </w:r>
      <w:proofErr w:type="spellStart"/>
      <w:r w:rsidR="00D104CD" w:rsidRPr="00D104CD">
        <w:rPr>
          <w:rFonts w:asciiTheme="majorHAnsi" w:hAnsiTheme="majorHAnsi" w:cstheme="majorHAnsi"/>
          <w:sz w:val="24"/>
          <w:szCs w:val="24"/>
        </w:rPr>
        <w:t>Männedorf</w:t>
      </w:r>
      <w:proofErr w:type="spellEnd"/>
      <w:r w:rsidR="00D104CD" w:rsidRPr="00D104CD">
        <w:rPr>
          <w:rFonts w:asciiTheme="majorHAnsi" w:hAnsiTheme="majorHAnsi" w:cstheme="majorHAnsi"/>
          <w:sz w:val="24"/>
          <w:szCs w:val="24"/>
        </w:rPr>
        <w:t xml:space="preserve">, Switzerland). After each step, plates were washed 3x with 200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D104CD">
        <w:rPr>
          <w:rFonts w:asciiTheme="majorHAnsi" w:hAnsiTheme="majorHAnsi" w:cstheme="majorHAnsi"/>
          <w:sz w:val="24"/>
          <w:szCs w:val="24"/>
        </w:rPr>
        <w:t>l 1x TBST. All measurements were performed in duplicates.</w:t>
      </w:r>
      <w:r w:rsidR="00BA421C">
        <w:rPr>
          <w:rFonts w:asciiTheme="majorHAnsi" w:hAnsiTheme="majorHAnsi" w:cstheme="majorHAnsi"/>
          <w:sz w:val="24"/>
          <w:szCs w:val="24"/>
        </w:rPr>
        <w:t xml:space="preserve"> </w:t>
      </w:r>
      <w:r w:rsidR="00D104CD" w:rsidRPr="00D104CD">
        <w:rPr>
          <w:rFonts w:asciiTheme="majorHAnsi" w:hAnsiTheme="majorHAnsi" w:cstheme="majorHAnsi"/>
          <w:sz w:val="24"/>
          <w:szCs w:val="24"/>
        </w:rPr>
        <w:t xml:space="preserve">For data analysis 10 </w:t>
      </w:r>
      <w:r w:rsidR="00D104CD" w:rsidRPr="00D104CD">
        <w:rPr>
          <w:rFonts w:asciiTheme="majorHAnsi" w:hAnsiTheme="majorHAnsi" w:cstheme="majorHAnsi"/>
          <w:sz w:val="24"/>
          <w:szCs w:val="24"/>
          <w:lang w:val="de-DE"/>
        </w:rPr>
        <w:t>μ</w:t>
      </w:r>
      <w:r w:rsidR="00D104CD" w:rsidRPr="00D104CD">
        <w:rPr>
          <w:rFonts w:asciiTheme="majorHAnsi" w:hAnsiTheme="majorHAnsi" w:cstheme="majorHAnsi"/>
          <w:sz w:val="24"/>
          <w:szCs w:val="24"/>
        </w:rPr>
        <w:t xml:space="preserve">g/ml ragweed standard (recombinant Amb a 1.0305, </w:t>
      </w:r>
      <w:proofErr w:type="spellStart"/>
      <w:r w:rsidR="00D104CD" w:rsidRPr="00D104CD">
        <w:rPr>
          <w:rFonts w:asciiTheme="majorHAnsi" w:hAnsiTheme="majorHAnsi" w:cstheme="majorHAnsi"/>
          <w:sz w:val="24"/>
          <w:szCs w:val="24"/>
        </w:rPr>
        <w:t>Biomay</w:t>
      </w:r>
      <w:proofErr w:type="spellEnd"/>
      <w:r w:rsidR="009C0EE5">
        <w:rPr>
          <w:rFonts w:asciiTheme="majorHAnsi" w:hAnsiTheme="majorHAnsi" w:cstheme="majorHAnsi"/>
          <w:sz w:val="24"/>
          <w:szCs w:val="24"/>
        </w:rPr>
        <w:t>, Vienna, Austria</w:t>
      </w:r>
      <w:r w:rsidR="00D104CD" w:rsidRPr="00D104CD">
        <w:rPr>
          <w:rFonts w:asciiTheme="majorHAnsi" w:hAnsiTheme="majorHAnsi" w:cstheme="majorHAnsi"/>
          <w:sz w:val="24"/>
          <w:szCs w:val="24"/>
        </w:rPr>
        <w:t>) was added in every experiment and diluted 1:2. This standard curve was used to calculate the concentration of Amb a 1 per protein concentration with the equation of a logarithmic regression model in Microsoft Excel.</w:t>
      </w:r>
    </w:p>
    <w:p w14:paraId="22FBBA8C" w14:textId="20BE2A75" w:rsidR="00216520" w:rsidRPr="00FA726A" w:rsidRDefault="00B06106" w:rsidP="00FA726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A726A">
        <w:rPr>
          <w:rFonts w:asciiTheme="majorHAnsi" w:hAnsiTheme="majorHAnsi" w:cstheme="majorHAnsi"/>
          <w:sz w:val="24"/>
          <w:szCs w:val="24"/>
        </w:rPr>
        <w:t>To measure pollen NADPH</w:t>
      </w:r>
      <w:r w:rsidRPr="00FA726A">
        <w:rPr>
          <w:rFonts w:asciiTheme="majorHAnsi" w:hAnsiTheme="majorHAnsi" w:cstheme="majorHAnsi"/>
          <w:b/>
          <w:sz w:val="24"/>
          <w:szCs w:val="24"/>
        </w:rPr>
        <w:t xml:space="preserve">, </w:t>
      </w:r>
      <w:r w:rsidRPr="00FA726A">
        <w:rPr>
          <w:rFonts w:asciiTheme="majorHAnsi" w:hAnsiTheme="majorHAnsi" w:cstheme="majorHAnsi"/>
          <w:sz w:val="24"/>
          <w:szCs w:val="24"/>
        </w:rPr>
        <w:t>t</w:t>
      </w:r>
      <w:r w:rsidRPr="00FA726A">
        <w:rPr>
          <w:rFonts w:asciiTheme="majorHAnsi" w:hAnsiTheme="majorHAnsi" w:cstheme="majorHAnsi"/>
          <w:sz w:val="24"/>
          <w:szCs w:val="24"/>
          <w:lang w:eastAsia="de-DE"/>
        </w:rPr>
        <w:t xml:space="preserve">he NBT assay was carried out as described </w:t>
      </w:r>
      <w:proofErr w:type="gramStart"/>
      <w:r w:rsidRPr="00FA726A">
        <w:rPr>
          <w:rFonts w:asciiTheme="majorHAnsi" w:hAnsiTheme="majorHAnsi" w:cstheme="majorHAnsi"/>
          <w:sz w:val="24"/>
          <w:szCs w:val="24"/>
          <w:lang w:eastAsia="de-DE"/>
        </w:rPr>
        <w:t>before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  <w:lang w:eastAsia="de-DE"/>
        </w:rPr>
        <w:t>1</w:t>
      </w:r>
      <w:proofErr w:type="gramEnd"/>
      <w:r w:rsidRPr="00FA726A">
        <w:rPr>
          <w:rFonts w:asciiTheme="majorHAnsi" w:hAnsiTheme="majorHAnsi" w:cstheme="majorHAnsi"/>
          <w:sz w:val="24"/>
          <w:szCs w:val="24"/>
          <w:lang w:eastAsia="de-DE"/>
        </w:rPr>
        <w:t>. Briefly, pollen grains (1 mg) from plants fumigated with O</w:t>
      </w:r>
      <w:r w:rsidRPr="00FA726A">
        <w:rPr>
          <w:rFonts w:asciiTheme="majorHAnsi" w:hAnsiTheme="majorHAnsi" w:cstheme="majorHAnsi"/>
          <w:sz w:val="24"/>
          <w:szCs w:val="24"/>
          <w:vertAlign w:val="subscript"/>
          <w:lang w:eastAsia="de-DE"/>
        </w:rPr>
        <w:t>3</w:t>
      </w:r>
      <w:r w:rsidRPr="00FA726A">
        <w:rPr>
          <w:rFonts w:asciiTheme="majorHAnsi" w:hAnsiTheme="majorHAnsi" w:cstheme="majorHAnsi"/>
          <w:sz w:val="24"/>
          <w:szCs w:val="24"/>
          <w:lang w:eastAsia="de-DE"/>
        </w:rPr>
        <w:t xml:space="preserve"> at both concentrations and respective controls were hydrated in pure water at 4°C for 30 min and mixed with 2 mM NBT (Sigma-Adrich Chemie GmbH, Steinheim, Germany) with or without 1 mM of (reduced) nicotinamide adenine dinucleotide phosphate (NADPH, Sigma). The reaction was carried out for 1 hour at 37°C. After </w:t>
      </w:r>
      <w:r w:rsidRPr="00FA726A">
        <w:rPr>
          <w:rFonts w:asciiTheme="majorHAnsi" w:hAnsiTheme="majorHAnsi" w:cstheme="majorHAnsi"/>
          <w:sz w:val="24"/>
          <w:szCs w:val="24"/>
          <w:lang w:eastAsia="de-DE"/>
        </w:rPr>
        <w:lastRenderedPageBreak/>
        <w:t>centrifugation and washing steps, the formazan sediment was extracted in 300 ml methanol by rotation for 30 min at room temperature. Following a last centrifugation step, the absorbance of supernatants was measured at 530 nm. Pollen viability was measured using the MTT assay as described before.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  <w:lang w:eastAsia="de-DE"/>
        </w:rPr>
        <w:t xml:space="preserve"> 2</w:t>
      </w:r>
      <w:r w:rsidR="00BC26F2" w:rsidRPr="00BC26F2">
        <w:rPr>
          <w:rFonts w:cstheme="minorHAnsi"/>
          <w:iCs/>
          <w:sz w:val="24"/>
          <w:szCs w:val="24"/>
        </w:rPr>
        <w:t xml:space="preserve"> </w:t>
      </w:r>
      <w:r w:rsidR="00BC26F2" w:rsidRPr="007048BA">
        <w:rPr>
          <w:rFonts w:asciiTheme="majorHAnsi" w:hAnsiTheme="majorHAnsi" w:cstheme="majorHAnsi"/>
          <w:iCs/>
          <w:sz w:val="24"/>
          <w:szCs w:val="24"/>
        </w:rPr>
        <w:t>Lastly, untargeted metabolome analysis</w:t>
      </w:r>
      <w:r w:rsidR="00BC26F2" w:rsidRPr="007048BA">
        <w:rPr>
          <w:rFonts w:asciiTheme="majorHAnsi" w:hAnsiTheme="majorHAnsi" w:cstheme="majorHAnsi"/>
          <w:sz w:val="24"/>
          <w:szCs w:val="24"/>
        </w:rPr>
        <w:t xml:space="preserve"> was performed</w:t>
      </w:r>
      <w:r w:rsidR="00BC26F2" w:rsidRPr="007048BA">
        <w:rPr>
          <w:rFonts w:asciiTheme="majorHAnsi" w:hAnsiTheme="majorHAnsi" w:cstheme="majorHAnsi"/>
          <w:sz w:val="24"/>
          <w:szCs w:val="24"/>
          <w:lang w:eastAsia="de-DE"/>
        </w:rPr>
        <w:t xml:space="preserve"> </w:t>
      </w:r>
      <w:r w:rsidR="00BC26F2" w:rsidRPr="007048BA">
        <w:rPr>
          <w:rFonts w:asciiTheme="majorHAnsi" w:hAnsiTheme="majorHAnsi" w:cstheme="majorHAnsi"/>
          <w:sz w:val="24"/>
          <w:szCs w:val="24"/>
        </w:rPr>
        <w:t xml:space="preserve">for RWE </w:t>
      </w:r>
      <w:r w:rsidR="00BC26F2" w:rsidRPr="007048BA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O</w:t>
      </w:r>
      <w:r w:rsidR="00BC26F2" w:rsidRPr="007048BA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  <w:vertAlign w:val="subscript"/>
        </w:rPr>
        <w:t xml:space="preserve">3 </w:t>
      </w:r>
      <w:r w:rsidR="00BC26F2" w:rsidRPr="007048BA">
        <w:rPr>
          <w:rFonts w:asciiTheme="majorHAnsi" w:hAnsiTheme="majorHAnsi" w:cstheme="majorHAnsi"/>
          <w:sz w:val="24"/>
          <w:szCs w:val="24"/>
        </w:rPr>
        <w:t>80 and 120 ppb and their respective controls using ultrahigh-resolution magnetic resonance mass spectrometry as previously described.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3</w:t>
      </w:r>
    </w:p>
    <w:p w14:paraId="5C11664F" w14:textId="77777777" w:rsidR="0079651C" w:rsidRPr="004D6630" w:rsidRDefault="0079651C" w:rsidP="0079651C">
      <w:pPr>
        <w:spacing w:before="240" w:after="0" w:line="360" w:lineRule="auto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4D6630">
        <w:rPr>
          <w:rFonts w:asciiTheme="majorHAnsi" w:hAnsiTheme="majorHAnsi" w:cstheme="majorHAnsi"/>
          <w:bCs/>
          <w:i/>
          <w:iCs/>
          <w:sz w:val="24"/>
          <w:szCs w:val="24"/>
        </w:rPr>
        <w:t>Untargeted metabolome analysis</w:t>
      </w:r>
    </w:p>
    <w:p w14:paraId="228EC8CE" w14:textId="3DF16225" w:rsidR="0079651C" w:rsidRPr="0051625E" w:rsidRDefault="0079651C" w:rsidP="0079651C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Spectra were acquired in positive ionization mode using a Bruker </w:t>
      </w:r>
      <w:proofErr w:type="spellStart"/>
      <w:r>
        <w:rPr>
          <w:rFonts w:asciiTheme="majorHAnsi" w:hAnsiTheme="majorHAnsi" w:cstheme="majorHAnsi"/>
          <w:sz w:val="24"/>
          <w:szCs w:val="24"/>
        </w:rPr>
        <w:t>solariX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Fourier transform ion cyclotron resonance mass spectrometer (FT-ICR-MS) equipped with an electrospray ionization source (APOLLO II) and a 12T superconducting magnet. Within a mass range of 100 to 1000 Da spectra were externally calibrated to arginine clusters with a mass accuracy of &lt;0.1 ppm. The signal-to-noise ratio threshold was set to 4 and peaks exceeding it were exported to mass lists. </w:t>
      </w:r>
      <w:r w:rsidRPr="008F58BC">
        <w:rPr>
          <w:rFonts w:asciiTheme="majorHAnsi" w:hAnsiTheme="majorHAnsi" w:cstheme="majorHAnsi"/>
          <w:sz w:val="24"/>
          <w:szCs w:val="24"/>
        </w:rPr>
        <w:t>Formula assignment</w:t>
      </w:r>
      <w:r>
        <w:rPr>
          <w:rFonts w:asciiTheme="majorHAnsi" w:hAnsiTheme="majorHAnsi" w:cstheme="majorHAnsi"/>
          <w:sz w:val="24"/>
          <w:szCs w:val="24"/>
        </w:rPr>
        <w:t xml:space="preserve"> of these masses</w:t>
      </w:r>
      <w:r w:rsidRPr="008F58BC">
        <w:rPr>
          <w:rFonts w:asciiTheme="majorHAnsi" w:hAnsiTheme="majorHAnsi" w:cstheme="majorHAnsi"/>
          <w:sz w:val="24"/>
          <w:szCs w:val="24"/>
        </w:rPr>
        <w:t xml:space="preserve"> was carried out using proprietary software (</w:t>
      </w:r>
      <w:proofErr w:type="spellStart"/>
      <w:r w:rsidRPr="008F58BC">
        <w:rPr>
          <w:rFonts w:asciiTheme="majorHAnsi" w:hAnsiTheme="majorHAnsi" w:cstheme="majorHAnsi"/>
          <w:sz w:val="24"/>
          <w:szCs w:val="24"/>
        </w:rPr>
        <w:t>NetCalc</w:t>
      </w:r>
      <w:proofErr w:type="spellEnd"/>
      <w:r w:rsidRPr="008F58BC">
        <w:rPr>
          <w:rFonts w:asciiTheme="majorHAnsi" w:hAnsiTheme="majorHAnsi" w:cstheme="majorHAnsi"/>
          <w:sz w:val="24"/>
          <w:szCs w:val="24"/>
        </w:rPr>
        <w:t xml:space="preserve">) developed in-house, which employs a </w:t>
      </w:r>
      <w:r>
        <w:rPr>
          <w:rFonts w:asciiTheme="majorHAnsi" w:hAnsiTheme="majorHAnsi" w:cstheme="majorHAnsi"/>
          <w:sz w:val="24"/>
          <w:szCs w:val="24"/>
        </w:rPr>
        <w:t xml:space="preserve">mass difference </w:t>
      </w:r>
      <w:r w:rsidRPr="008F58BC">
        <w:rPr>
          <w:rFonts w:asciiTheme="majorHAnsi" w:hAnsiTheme="majorHAnsi" w:cstheme="majorHAnsi"/>
          <w:sz w:val="24"/>
          <w:szCs w:val="24"/>
        </w:rPr>
        <w:t>network approach to determine chemical compositions containing carbon, hydrogen, and oxygen, along with nitrogen and/or sulfur.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4</w:t>
      </w:r>
      <w:r w:rsidRPr="008F58BC">
        <w:rPr>
          <w:rFonts w:asciiTheme="majorHAnsi" w:hAnsiTheme="majorHAnsi" w:cstheme="majorHAnsi"/>
          <w:sz w:val="24"/>
          <w:szCs w:val="24"/>
        </w:rPr>
        <w:t xml:space="preserve"> The mass accuracy tolerance for formula assignment was set to ±0.5 ppm. To ensure the validity of the assigned formulas, chemical constraints were applied, including the nitrogen rule, an oxygen-to-carbon ratio of at least 1, a hydrogen-to-carbon ratio not exceeding 2n + 2 (where n corresponds to the number of carbon atoms in the formula CₙH₂ₙ₊₂, representing the maximum carbon saturation), and double bond equivalents. These constraints were complemented by comparison with isotope patterns for further verification.</w:t>
      </w:r>
      <w:r>
        <w:rPr>
          <w:rFonts w:asciiTheme="majorHAnsi" w:hAnsiTheme="majorHAnsi" w:cstheme="majorHAnsi"/>
          <w:sz w:val="24"/>
          <w:szCs w:val="24"/>
        </w:rPr>
        <w:t xml:space="preserve"> To annotate metabolites, the mass lists were compared with several publicly available databases (e.g. HMDB and </w:t>
      </w:r>
      <w:proofErr w:type="spellStart"/>
      <w:r>
        <w:rPr>
          <w:rFonts w:asciiTheme="majorHAnsi" w:hAnsiTheme="majorHAnsi" w:cstheme="majorHAnsi"/>
          <w:sz w:val="24"/>
          <w:szCs w:val="24"/>
        </w:rPr>
        <w:t>LipidMaps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) using the function </w:t>
      </w:r>
      <w:r w:rsidRPr="00403D37">
        <w:rPr>
          <w:rFonts w:asciiTheme="majorHAnsi" w:hAnsiTheme="majorHAnsi" w:cstheme="majorHAnsi"/>
          <w:i/>
          <w:sz w:val="24"/>
          <w:szCs w:val="24"/>
        </w:rPr>
        <w:t>‘</w:t>
      </w:r>
      <w:proofErr w:type="spellStart"/>
      <w:r>
        <w:rPr>
          <w:rFonts w:asciiTheme="majorHAnsi" w:hAnsiTheme="majorHAnsi" w:cstheme="majorHAnsi"/>
          <w:i/>
          <w:sz w:val="24"/>
          <w:szCs w:val="24"/>
        </w:rPr>
        <w:t>MetaboAnnotation</w:t>
      </w:r>
      <w:proofErr w:type="spellEnd"/>
      <w:r>
        <w:rPr>
          <w:rFonts w:asciiTheme="majorHAnsi" w:hAnsiTheme="majorHAnsi" w:cstheme="majorHAnsi"/>
          <w:i/>
          <w:sz w:val="24"/>
          <w:szCs w:val="24"/>
        </w:rPr>
        <w:t>’</w:t>
      </w:r>
      <w:r>
        <w:rPr>
          <w:rFonts w:asciiTheme="majorHAnsi" w:hAnsiTheme="majorHAnsi" w:cstheme="majorHAnsi"/>
          <w:sz w:val="24"/>
          <w:szCs w:val="24"/>
        </w:rPr>
        <w:t xml:space="preserve"> (v1.10.1)</w:t>
      </w:r>
      <w:r>
        <w:rPr>
          <w:rFonts w:asciiTheme="majorHAnsi" w:hAnsiTheme="majorHAnsi" w:cstheme="majorHAnsi"/>
          <w:i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in R (v4.4.2) considering a mass accuracy tolerance of 1 ppm.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5,6</w:t>
      </w:r>
      <w:r>
        <w:rPr>
          <w:rFonts w:asciiTheme="majorHAnsi" w:hAnsiTheme="majorHAnsi" w:cstheme="majorHAnsi"/>
          <w:sz w:val="24"/>
          <w:szCs w:val="24"/>
        </w:rPr>
        <w:t xml:space="preserve"> Significant mass features (adj. p-value &lt; 0.05 and VIP &gt;2) that could not be annotated using </w:t>
      </w:r>
      <w:proofErr w:type="spellStart"/>
      <w:r>
        <w:rPr>
          <w:rFonts w:asciiTheme="majorHAnsi" w:hAnsiTheme="majorHAnsi" w:cstheme="majorHAnsi"/>
          <w:sz w:val="24"/>
          <w:szCs w:val="24"/>
        </w:rPr>
        <w:t>MetaboAnnotation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, were tentatively annotated using </w:t>
      </w:r>
      <w:proofErr w:type="spellStart"/>
      <w:r>
        <w:rPr>
          <w:rFonts w:asciiTheme="majorHAnsi" w:hAnsiTheme="majorHAnsi" w:cstheme="majorHAnsi"/>
          <w:sz w:val="24"/>
          <w:szCs w:val="24"/>
        </w:rPr>
        <w:t>MetabolomicsWorkbench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(</w:t>
      </w:r>
      <w:r w:rsidRPr="0014676A">
        <w:rPr>
          <w:rFonts w:asciiTheme="majorHAnsi" w:hAnsiTheme="majorHAnsi" w:cstheme="majorHAnsi"/>
          <w:sz w:val="24"/>
          <w:szCs w:val="24"/>
        </w:rPr>
        <w:t>www.metabolomicsworkbench.org</w:t>
      </w:r>
      <w:r>
        <w:rPr>
          <w:rFonts w:asciiTheme="majorHAnsi" w:hAnsiTheme="majorHAnsi" w:cstheme="majorHAnsi"/>
          <w:sz w:val="24"/>
          <w:szCs w:val="24"/>
        </w:rPr>
        <w:t>) and a mass accuracy tolerance of 2 ppm.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7</w:t>
      </w:r>
      <w:r>
        <w:rPr>
          <w:rFonts w:asciiTheme="majorHAnsi" w:hAnsiTheme="majorHAnsi" w:cstheme="majorHAnsi"/>
          <w:sz w:val="24"/>
          <w:szCs w:val="24"/>
        </w:rPr>
        <w:t xml:space="preserve"> Additionally, we classified the metabolites using the </w:t>
      </w:r>
      <w:r w:rsidRPr="003C2061">
        <w:rPr>
          <w:rFonts w:asciiTheme="majorHAnsi" w:hAnsiTheme="majorHAnsi" w:cstheme="majorHAnsi"/>
          <w:sz w:val="24"/>
          <w:szCs w:val="24"/>
        </w:rPr>
        <w:t>‘Multidimensional stoichiometric compound classification’ (MSCC) approach</w:t>
      </w:r>
      <w:r>
        <w:rPr>
          <w:rFonts w:asciiTheme="majorHAnsi" w:hAnsiTheme="majorHAnsi" w:cstheme="majorHAnsi"/>
          <w:sz w:val="24"/>
          <w:szCs w:val="24"/>
        </w:rPr>
        <w:t>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8</w:t>
      </w:r>
      <w:r>
        <w:rPr>
          <w:rFonts w:asciiTheme="majorHAnsi" w:hAnsiTheme="majorHAnsi" w:cstheme="majorHAnsi"/>
          <w:sz w:val="24"/>
          <w:szCs w:val="24"/>
        </w:rPr>
        <w:t xml:space="preserve"> MSCC uses </w:t>
      </w:r>
      <w:r w:rsidRPr="003C2061">
        <w:rPr>
          <w:rFonts w:asciiTheme="majorHAnsi" w:hAnsiTheme="majorHAnsi" w:cstheme="majorHAnsi"/>
          <w:sz w:val="24"/>
          <w:szCs w:val="24"/>
        </w:rPr>
        <w:t xml:space="preserve">the elemental ratio compositions </w:t>
      </w:r>
      <w:r>
        <w:rPr>
          <w:rFonts w:asciiTheme="majorHAnsi" w:hAnsiTheme="majorHAnsi" w:cstheme="majorHAnsi"/>
          <w:sz w:val="24"/>
          <w:szCs w:val="24"/>
        </w:rPr>
        <w:t xml:space="preserve">to </w:t>
      </w:r>
      <w:r w:rsidRPr="00B96088">
        <w:rPr>
          <w:rFonts w:asciiTheme="majorHAnsi" w:hAnsiTheme="majorHAnsi" w:cstheme="majorHAnsi"/>
          <w:sz w:val="24"/>
          <w:szCs w:val="24"/>
        </w:rPr>
        <w:t>accurately (&gt;98%) group compounds into broad categories such as carbohydrates, lipids, protein-related compounds (e.g., amino acids and small peptides), secondary metabolites, amino sugars, and nucleotides</w:t>
      </w:r>
      <w:r>
        <w:rPr>
          <w:rFonts w:asciiTheme="majorHAnsi" w:hAnsiTheme="majorHAnsi" w:cstheme="majorHAnsi"/>
          <w:sz w:val="24"/>
          <w:szCs w:val="24"/>
        </w:rPr>
        <w:t>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8</w:t>
      </w:r>
    </w:p>
    <w:p w14:paraId="73FA98C8" w14:textId="77777777" w:rsidR="0079651C" w:rsidRDefault="0079651C" w:rsidP="006778B8">
      <w:pPr>
        <w:pStyle w:val="Pa2"/>
        <w:spacing w:line="360" w:lineRule="auto"/>
        <w:jc w:val="both"/>
        <w:rPr>
          <w:rFonts w:asciiTheme="majorHAnsi" w:hAnsiTheme="majorHAnsi" w:cstheme="majorHAnsi"/>
          <w:b/>
          <w:bCs/>
          <w:lang w:val="en-US"/>
        </w:rPr>
      </w:pPr>
    </w:p>
    <w:p w14:paraId="6245CBED" w14:textId="360B8BAF" w:rsidR="00B65133" w:rsidRDefault="00B65133" w:rsidP="006778B8">
      <w:pPr>
        <w:pStyle w:val="Pa2"/>
        <w:spacing w:line="360" w:lineRule="auto"/>
        <w:jc w:val="both"/>
        <w:rPr>
          <w:rFonts w:asciiTheme="majorHAnsi" w:hAnsiTheme="majorHAnsi" w:cstheme="majorHAnsi"/>
          <w:b/>
          <w:bCs/>
          <w:lang w:val="en-US"/>
        </w:rPr>
      </w:pPr>
      <w:r>
        <w:rPr>
          <w:rFonts w:asciiTheme="majorHAnsi" w:hAnsiTheme="majorHAnsi" w:cstheme="majorHAnsi"/>
          <w:b/>
          <w:bCs/>
          <w:lang w:val="en-US"/>
        </w:rPr>
        <w:t>Murine model</w:t>
      </w:r>
    </w:p>
    <w:p w14:paraId="22FBBA93" w14:textId="351E30E0" w:rsidR="00216520" w:rsidRPr="00B65133" w:rsidRDefault="00E53F94" w:rsidP="006778B8">
      <w:pPr>
        <w:pStyle w:val="Pa2"/>
        <w:spacing w:line="360" w:lineRule="auto"/>
        <w:jc w:val="both"/>
        <w:rPr>
          <w:rFonts w:asciiTheme="majorHAnsi" w:hAnsiTheme="majorHAnsi" w:cstheme="majorHAnsi"/>
          <w:i/>
          <w:iCs/>
          <w:lang w:val="en-US"/>
        </w:rPr>
      </w:pPr>
      <w:r w:rsidRPr="00B65133">
        <w:rPr>
          <w:rFonts w:asciiTheme="majorHAnsi" w:hAnsiTheme="majorHAnsi" w:cstheme="majorHAnsi"/>
          <w:i/>
          <w:iCs/>
          <w:lang w:val="en-US"/>
        </w:rPr>
        <w:t xml:space="preserve">Measurement of airway hyperresponsiveness </w:t>
      </w:r>
    </w:p>
    <w:p w14:paraId="22FBBA94" w14:textId="773AA868" w:rsidR="00216520" w:rsidRDefault="00E53F94" w:rsidP="006778B8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Airway hyperresponsiveness</w:t>
      </w:r>
      <w:r>
        <w:rPr>
          <w:rFonts w:asciiTheme="majorHAnsi" w:hAnsiTheme="majorHAnsi" w:cstheme="majorHAnsi"/>
          <w:sz w:val="24"/>
          <w:szCs w:val="24"/>
        </w:rPr>
        <w:t xml:space="preserve"> to methacholine (Sigma-Aldrich, </w:t>
      </w:r>
      <w:proofErr w:type="spellStart"/>
      <w:r>
        <w:rPr>
          <w:rFonts w:asciiTheme="majorHAnsi" w:hAnsiTheme="majorHAnsi" w:cstheme="majorHAnsi"/>
          <w:sz w:val="24"/>
          <w:szCs w:val="24"/>
        </w:rPr>
        <w:t>Taufkirchen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, Germany) </w:t>
      </w:r>
      <w:r>
        <w:rPr>
          <w:rFonts w:asciiTheme="majorHAnsi" w:eastAsia="TimesNewRoman" w:hAnsiTheme="majorHAnsi" w:cstheme="majorHAnsi"/>
          <w:sz w:val="24"/>
          <w:szCs w:val="24"/>
          <w:lang w:eastAsia="de-DE"/>
        </w:rPr>
        <w:t xml:space="preserve">was </w:t>
      </w:r>
      <w:r>
        <w:rPr>
          <w:rFonts w:asciiTheme="majorHAnsi" w:hAnsiTheme="majorHAnsi" w:cstheme="majorHAnsi"/>
          <w:sz w:val="24"/>
          <w:szCs w:val="24"/>
          <w:lang w:eastAsia="de-DE"/>
        </w:rPr>
        <w:t xml:space="preserve">measured 24 h after the last </w:t>
      </w:r>
      <w:proofErr w:type="spellStart"/>
      <w:r>
        <w:rPr>
          <w:rFonts w:asciiTheme="majorHAnsi" w:hAnsiTheme="majorHAnsi" w:cstheme="majorHAnsi"/>
          <w:sz w:val="24"/>
          <w:szCs w:val="24"/>
          <w:lang w:eastAsia="de-DE"/>
        </w:rPr>
        <w:t>i.n.</w:t>
      </w:r>
      <w:proofErr w:type="spellEnd"/>
      <w:r>
        <w:rPr>
          <w:rFonts w:asciiTheme="majorHAnsi" w:hAnsiTheme="majorHAnsi" w:cstheme="majorHAnsi"/>
          <w:sz w:val="24"/>
          <w:szCs w:val="24"/>
          <w:lang w:eastAsia="de-DE"/>
        </w:rPr>
        <w:t xml:space="preserve"> administration of pollen extract in intubated, mechanically ventilated animals (n = 5/group; </w:t>
      </w:r>
      <w:r>
        <w:rPr>
          <w:rFonts w:asciiTheme="majorHAnsi" w:hAnsiTheme="majorHAnsi" w:cstheme="majorHAnsi"/>
          <w:sz w:val="24"/>
          <w:szCs w:val="24"/>
        </w:rPr>
        <w:t>Data Sciences International (DSI), New Brighton, MN, USA</w:t>
      </w:r>
      <w:r>
        <w:rPr>
          <w:rFonts w:asciiTheme="majorHAnsi" w:hAnsiTheme="majorHAnsi" w:cstheme="majorHAnsi"/>
          <w:sz w:val="24"/>
          <w:szCs w:val="24"/>
          <w:lang w:eastAsia="de-DE"/>
        </w:rPr>
        <w:t>), as previously described.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  <w:lang w:eastAsia="de-DE"/>
        </w:rPr>
        <w:t xml:space="preserve"> 9</w:t>
      </w:r>
      <w:r>
        <w:rPr>
          <w:rFonts w:asciiTheme="majorHAnsi" w:hAnsiTheme="majorHAnsi" w:cstheme="majorHAnsi"/>
          <w:sz w:val="24"/>
          <w:szCs w:val="24"/>
          <w:lang w:eastAsia="de-DE"/>
        </w:rPr>
        <w:t xml:space="preserve"> Briefly, animals were anesthetized </w:t>
      </w:r>
      <w:r>
        <w:rPr>
          <w:rFonts w:asciiTheme="majorHAnsi" w:hAnsiTheme="majorHAnsi" w:cstheme="majorHAnsi"/>
          <w:sz w:val="24"/>
          <w:szCs w:val="24"/>
        </w:rPr>
        <w:t xml:space="preserve">by an intraperitoneal injection of Ketamine (100mg/kg) and Xylazine (5mg/kg) in PBS. After cannulation of the trachea and starting mechanical ventilation, the animals were challenged with increasing methacholine concentrations, using an in-line nebulizer (5 </w:t>
      </w:r>
      <w:r>
        <w:rPr>
          <w:rFonts w:ascii="Symbol" w:hAnsi="Symbol" w:cstheme="majorHAnsi"/>
          <w:sz w:val="24"/>
          <w:szCs w:val="24"/>
        </w:rPr>
        <w:t></w:t>
      </w:r>
      <w:r>
        <w:rPr>
          <w:rFonts w:asciiTheme="majorHAnsi" w:hAnsiTheme="majorHAnsi" w:cstheme="majorHAnsi"/>
          <w:sz w:val="24"/>
          <w:szCs w:val="24"/>
        </w:rPr>
        <w:t xml:space="preserve">l </w:t>
      </w:r>
      <w:r w:rsidR="00E609AE">
        <w:rPr>
          <w:rFonts w:asciiTheme="majorHAnsi" w:hAnsiTheme="majorHAnsi" w:cstheme="majorHAnsi"/>
          <w:sz w:val="24"/>
          <w:szCs w:val="24"/>
        </w:rPr>
        <w:t>methacholine</w:t>
      </w:r>
      <w:r>
        <w:rPr>
          <w:rFonts w:asciiTheme="majorHAnsi" w:hAnsiTheme="majorHAnsi" w:cstheme="majorHAnsi"/>
          <w:sz w:val="24"/>
          <w:szCs w:val="24"/>
        </w:rPr>
        <w:t xml:space="preserve"> solution in PBS delivered for 30 seconds at the following concentrations: 0, 2.5, 5, 10, 20 and 40 mg/ml). Data w</w:t>
      </w:r>
      <w:r w:rsidR="006308C3">
        <w:rPr>
          <w:rFonts w:asciiTheme="majorHAnsi" w:hAnsiTheme="majorHAnsi" w:cstheme="majorHAnsi"/>
          <w:sz w:val="24"/>
          <w:szCs w:val="24"/>
        </w:rPr>
        <w:t>as</w:t>
      </w:r>
      <w:r>
        <w:rPr>
          <w:rFonts w:asciiTheme="majorHAnsi" w:hAnsiTheme="majorHAnsi" w:cstheme="majorHAnsi"/>
          <w:sz w:val="24"/>
          <w:szCs w:val="24"/>
        </w:rPr>
        <w:t xml:space="preserve"> recorded using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the </w:t>
      </w:r>
      <w:proofErr w:type="spellStart"/>
      <w:r>
        <w:rPr>
          <w:rFonts w:asciiTheme="majorHAnsi" w:hAnsiTheme="majorHAnsi" w:cstheme="majorHAnsi"/>
          <w:sz w:val="24"/>
          <w:szCs w:val="24"/>
        </w:rPr>
        <w:t>FinePoint</w:t>
      </w:r>
      <w:proofErr w:type="spellEnd"/>
      <w:proofErr w:type="gramEnd"/>
      <w:r>
        <w:rPr>
          <w:rFonts w:asciiTheme="majorHAnsi" w:hAnsiTheme="majorHAnsi" w:cstheme="majorHAnsi"/>
          <w:sz w:val="24"/>
          <w:szCs w:val="24"/>
        </w:rPr>
        <w:t xml:space="preserve"> software v2.4.6 (DSI). The highest values of respiratory system resistance (R) were recorded every 5 seconds during the data recording interval set at 3 min after each </w:t>
      </w:r>
      <w:r w:rsidR="00E609AE">
        <w:rPr>
          <w:rFonts w:asciiTheme="majorHAnsi" w:hAnsiTheme="majorHAnsi" w:cstheme="majorHAnsi"/>
          <w:sz w:val="24"/>
          <w:szCs w:val="24"/>
        </w:rPr>
        <w:t>methacholine</w:t>
      </w:r>
      <w:r w:rsidR="00E609AE" w:rsidDel="00E609AE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level and the mean value of respiratory system resistance during each recording interval was calculated. The heart rate of each animal was continuously monitored using an </w:t>
      </w:r>
      <w:r w:rsidR="00F70B86">
        <w:rPr>
          <w:rFonts w:asciiTheme="majorHAnsi" w:hAnsiTheme="majorHAnsi" w:cstheme="majorHAnsi"/>
          <w:sz w:val="24"/>
          <w:szCs w:val="24"/>
        </w:rPr>
        <w:t xml:space="preserve">electrocardiogram </w:t>
      </w:r>
      <w:r>
        <w:rPr>
          <w:rFonts w:asciiTheme="majorHAnsi" w:hAnsiTheme="majorHAnsi" w:cstheme="majorHAnsi"/>
          <w:sz w:val="24"/>
          <w:szCs w:val="24"/>
        </w:rPr>
        <w:t>device connected with three subcutaneous electrodes throughout the entire experiment (DSI).</w:t>
      </w:r>
    </w:p>
    <w:p w14:paraId="22FBBA95" w14:textId="77777777" w:rsidR="00216520" w:rsidRPr="00B65133" w:rsidRDefault="00E53F94" w:rsidP="006778B8">
      <w:pPr>
        <w:spacing w:after="0" w:line="360" w:lineRule="auto"/>
        <w:jc w:val="both"/>
        <w:outlineLvl w:val="0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B65133">
        <w:rPr>
          <w:rFonts w:asciiTheme="majorHAnsi" w:hAnsiTheme="majorHAnsi" w:cstheme="majorHAnsi"/>
          <w:bCs/>
          <w:i/>
          <w:iCs/>
          <w:sz w:val="24"/>
          <w:szCs w:val="24"/>
        </w:rPr>
        <w:t>Analysis of bronchoalveolar lavage (BAL), lung histology and serology</w:t>
      </w:r>
    </w:p>
    <w:p w14:paraId="22FBBA96" w14:textId="7F4F6DEB" w:rsidR="00216520" w:rsidRDefault="00E53F94" w:rsidP="006778B8">
      <w:pPr>
        <w:pStyle w:val="Kommentartext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24"/>
          <w:szCs w:val="24"/>
        </w:rPr>
        <w:t>BAL and evaluation of inflammatory cell infiltration were performed as described previously.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9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Aliquots of cell-free BAL fluid were used to measure cytokines via </w:t>
      </w:r>
      <w:proofErr w:type="spellStart"/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LEGENDplex</w:t>
      </w:r>
      <w:proofErr w:type="spellEnd"/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™ Mouse T Helper Cytokine Panel (</w:t>
      </w:r>
      <w:proofErr w:type="spellStart"/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Biolegend</w:t>
      </w:r>
      <w:proofErr w:type="spellEnd"/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, San Diego, CA, USA) according to manufacturer’s instructions. </w:t>
      </w:r>
      <w:r>
        <w:rPr>
          <w:rFonts w:asciiTheme="majorHAnsi" w:hAnsiTheme="majorHAnsi" w:cstheme="majorHAnsi"/>
          <w:sz w:val="24"/>
          <w:szCs w:val="24"/>
        </w:rPr>
        <w:t xml:space="preserve">For lung histology, after BAL, the lungs were excised and the left lobe fixed in 4% buffered formalin and embedded in paraffin. Sections of 4µm thickness were stained with hematoxylin-eosin (H&amp;E) and periodic acid Schiff (PAS). </w:t>
      </w:r>
      <w:r>
        <w:rPr>
          <w:rFonts w:asciiTheme="majorHAnsi" w:hAnsiTheme="majorHAnsi" w:cstheme="majorHAnsi"/>
          <w:sz w:val="24"/>
          <w:szCs w:val="24"/>
          <w:lang w:val="en-GB"/>
        </w:rPr>
        <w:t>Mucus hypersecretion and inflammatory cell infiltration were graded in a blinded fashion on a scale from 0 to 4 (0=none, 1=mild, 2=moderate, 3=marked, 4=severe), reflecting the degree of the pathological alteration.</w:t>
      </w:r>
      <w:r w:rsidR="004F0CA4" w:rsidRPr="00020893">
        <w:rPr>
          <w:rFonts w:asciiTheme="majorHAnsi" w:eastAsia="Times New Roman" w:hAnsiTheme="majorHAnsi" w:cstheme="majorHAnsi"/>
          <w:b/>
          <w:bCs/>
          <w:noProof/>
          <w:sz w:val="24"/>
          <w:szCs w:val="24"/>
          <w:vertAlign w:val="superscript"/>
          <w:lang w:val="en-GB"/>
        </w:rPr>
        <w:t xml:space="preserve"> 10</w:t>
      </w:r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 Total IgE and Amb a1-specific IgG1 were measured in serum samples obtained from each mouse prior to the first sensitization and at the end of experiment using an ELISA previously described</w:t>
      </w:r>
      <w:r w:rsidR="004F0CA4" w:rsidRPr="00020893">
        <w:rPr>
          <w:rFonts w:asciiTheme="majorHAnsi" w:hAnsiTheme="majorHAnsi" w:cstheme="majorHAnsi"/>
          <w:noProof/>
          <w:color w:val="000000"/>
          <w:sz w:val="24"/>
          <w:szCs w:val="24"/>
          <w:shd w:val="clear" w:color="auto" w:fill="FFFFFF"/>
          <w:vertAlign w:val="superscript"/>
        </w:rPr>
        <w:t>9</w:t>
      </w:r>
      <w: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. </w:t>
      </w:r>
    </w:p>
    <w:p w14:paraId="22FBBA97" w14:textId="77777777" w:rsidR="00216520" w:rsidRPr="00B65133" w:rsidRDefault="00E53F94" w:rsidP="006778B8">
      <w:pPr>
        <w:pStyle w:val="berschrift3"/>
        <w:spacing w:before="240" w:beforeAutospacing="0" w:after="0" w:afterAutospacing="0" w:line="360" w:lineRule="auto"/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</w:pPr>
      <w:r w:rsidRPr="00B65133">
        <w:rPr>
          <w:rFonts w:asciiTheme="majorHAnsi" w:hAnsiTheme="majorHAnsi" w:cstheme="majorHAnsi"/>
          <w:b w:val="0"/>
          <w:bCs w:val="0"/>
          <w:i/>
          <w:iCs/>
          <w:sz w:val="24"/>
          <w:szCs w:val="24"/>
        </w:rPr>
        <w:t xml:space="preserve">Flow cytometry of lung and lymph nodes infiltrating cells </w:t>
      </w:r>
    </w:p>
    <w:p w14:paraId="22FBBA98" w14:textId="77777777" w:rsidR="00216520" w:rsidRDefault="00E53F94" w:rsidP="006778B8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At sacrifice, single cell suspensions were generated from lung and/or lymph nodes of mice instilled with control-RWE, O</w:t>
      </w:r>
      <w:r>
        <w:rPr>
          <w:rFonts w:asciiTheme="majorHAnsi" w:hAnsiTheme="majorHAnsi" w:cstheme="majorHAnsi"/>
          <w:sz w:val="24"/>
          <w:szCs w:val="24"/>
          <w:vertAlign w:val="subscript"/>
        </w:rPr>
        <w:t>3</w:t>
      </w:r>
      <w:r>
        <w:rPr>
          <w:rFonts w:asciiTheme="majorHAnsi" w:hAnsiTheme="majorHAnsi" w:cstheme="majorHAnsi"/>
          <w:sz w:val="24"/>
          <w:szCs w:val="24"/>
        </w:rPr>
        <w:t xml:space="preserve">-RWE or PBS, dissociated with a lung dissociation kit (kit number 130-065-927; </w:t>
      </w:r>
      <w:proofErr w:type="spellStart"/>
      <w:r>
        <w:rPr>
          <w:rFonts w:asciiTheme="majorHAnsi" w:hAnsiTheme="majorHAnsi" w:cstheme="majorHAnsi"/>
          <w:sz w:val="24"/>
          <w:szCs w:val="24"/>
        </w:rPr>
        <w:t>Miltenyi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Biotec).</w:t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 Cell suspensions of lung and lymph nodes tissue were first stained with surface markers. Subsequently, staining for transcription factors was performed using Foxp3 Staining Buffer Set (</w:t>
      </w:r>
      <w:proofErr w:type="spellStart"/>
      <w:r>
        <w:rPr>
          <w:rFonts w:asciiTheme="majorHAnsi" w:hAnsiTheme="majorHAnsi" w:cstheme="majorHAnsi"/>
          <w:color w:val="000000"/>
          <w:sz w:val="24"/>
          <w:szCs w:val="24"/>
        </w:rPr>
        <w:t>eBioscience</w:t>
      </w:r>
      <w:proofErr w:type="spellEnd"/>
      <w:r>
        <w:rPr>
          <w:rFonts w:asciiTheme="majorHAnsi" w:hAnsiTheme="majorHAnsi" w:cstheme="majorHAnsi"/>
          <w:color w:val="000000"/>
          <w:sz w:val="24"/>
          <w:szCs w:val="24"/>
        </w:rPr>
        <w:t xml:space="preserve">) according to the manufacturer’s protocols. </w:t>
      </w:r>
      <w:r>
        <w:rPr>
          <w:rFonts w:asciiTheme="majorHAnsi" w:hAnsiTheme="majorHAnsi" w:cstheme="majorHAnsi"/>
          <w:sz w:val="24"/>
          <w:szCs w:val="24"/>
        </w:rPr>
        <w:t xml:space="preserve">Samples were measured in a BD </w:t>
      </w:r>
      <w:proofErr w:type="spellStart"/>
      <w:r>
        <w:rPr>
          <w:rFonts w:asciiTheme="majorHAnsi" w:hAnsiTheme="majorHAnsi" w:cstheme="majorHAnsi"/>
          <w:sz w:val="24"/>
          <w:szCs w:val="24"/>
        </w:rPr>
        <w:t>FACSCanto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II flow cytometer </w:t>
      </w:r>
      <w:r>
        <w:rPr>
          <w:rFonts w:asciiTheme="majorHAnsi" w:hAnsiTheme="majorHAnsi" w:cstheme="majorHAnsi"/>
          <w:color w:val="000000"/>
          <w:sz w:val="24"/>
          <w:szCs w:val="24"/>
        </w:rPr>
        <w:t>(BD</w:t>
      </w:r>
      <w:r>
        <w:rPr>
          <w:rFonts w:asciiTheme="majorHAnsi" w:hAnsiTheme="majorHAnsi" w:cstheme="majorHAnsi"/>
          <w:sz w:val="24"/>
          <w:szCs w:val="24"/>
        </w:rPr>
        <w:t xml:space="preserve"> Biosciences Pharmingen, San Diego, CA, USA</w:t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and data were analyzed using a </w:t>
      </w:r>
      <w:proofErr w:type="spellStart"/>
      <w:r>
        <w:rPr>
          <w:rFonts w:asciiTheme="majorHAnsi" w:hAnsiTheme="majorHAnsi" w:cstheme="majorHAnsi"/>
          <w:sz w:val="24"/>
          <w:szCs w:val="24"/>
        </w:rPr>
        <w:t>FlowJo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graphics application V9.7.2 (</w:t>
      </w:r>
      <w:proofErr w:type="spellStart"/>
      <w:r>
        <w:rPr>
          <w:rFonts w:asciiTheme="majorHAnsi" w:hAnsiTheme="majorHAnsi" w:cstheme="majorHAnsi"/>
          <w:sz w:val="24"/>
          <w:szCs w:val="24"/>
        </w:rPr>
        <w:t>TreeStar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Inc., Ashland, </w:t>
      </w:r>
      <w:proofErr w:type="gramStart"/>
      <w:r>
        <w:rPr>
          <w:rFonts w:asciiTheme="majorHAnsi" w:hAnsiTheme="majorHAnsi" w:cstheme="majorHAnsi"/>
          <w:sz w:val="24"/>
          <w:szCs w:val="24"/>
        </w:rPr>
        <w:t>OR,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USA).</w:t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 The gating strategy to identify different cell populations is presented in Fig. S1 and Fig. S2. Antibodies used for flow cytometry are listed in Table S1 (mouse).</w:t>
      </w:r>
    </w:p>
    <w:p w14:paraId="57A156E1" w14:textId="77777777" w:rsidR="00B65133" w:rsidRDefault="00B65133" w:rsidP="006778B8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A7E9E42" w14:textId="6186BBCA" w:rsidR="00B65133" w:rsidRPr="00B65133" w:rsidRDefault="00B65133" w:rsidP="006778B8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b/>
          <w:bCs/>
          <w:i/>
          <w:sz w:val="24"/>
          <w:szCs w:val="24"/>
        </w:rPr>
      </w:pPr>
      <w:r w:rsidRPr="00B65133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Human </w:t>
      </w:r>
      <w:r w:rsidRPr="00B65133"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</w:rPr>
        <w:t>in</w:t>
      </w:r>
      <w:r w:rsidR="00E23B01"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</w:rPr>
        <w:t>-</w:t>
      </w:r>
      <w:r w:rsidRPr="00B65133"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</w:rPr>
        <w:t>vitro</w:t>
      </w:r>
      <w:r w:rsidRPr="00B65133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model</w:t>
      </w:r>
    </w:p>
    <w:p w14:paraId="22FBBA99" w14:textId="72B7E644" w:rsidR="00216520" w:rsidRPr="00E23B01" w:rsidRDefault="00E53F94" w:rsidP="006778B8">
      <w:pPr>
        <w:spacing w:before="240" w:after="0" w:line="360" w:lineRule="auto"/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E23B01">
        <w:rPr>
          <w:rFonts w:asciiTheme="majorHAnsi" w:hAnsiTheme="majorHAnsi" w:cstheme="majorHAnsi"/>
          <w:bCs/>
          <w:i/>
          <w:iCs/>
          <w:sz w:val="24"/>
          <w:szCs w:val="24"/>
        </w:rPr>
        <w:t>D</w:t>
      </w:r>
      <w:r w:rsidR="00EF52D0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endritic </w:t>
      </w:r>
      <w:r w:rsidR="00205FF9">
        <w:rPr>
          <w:rFonts w:asciiTheme="majorHAnsi" w:hAnsiTheme="majorHAnsi" w:cstheme="majorHAnsi"/>
          <w:bCs/>
          <w:i/>
          <w:iCs/>
          <w:sz w:val="24"/>
          <w:szCs w:val="24"/>
        </w:rPr>
        <w:t>cell (D</w:t>
      </w:r>
      <w:r w:rsidRPr="00E23B01">
        <w:rPr>
          <w:rFonts w:asciiTheme="majorHAnsi" w:hAnsiTheme="majorHAnsi" w:cstheme="majorHAnsi"/>
          <w:bCs/>
          <w:i/>
          <w:iCs/>
          <w:sz w:val="24"/>
          <w:szCs w:val="24"/>
        </w:rPr>
        <w:t>C</w:t>
      </w:r>
      <w:r w:rsidR="00205FF9">
        <w:rPr>
          <w:rFonts w:asciiTheme="majorHAnsi" w:hAnsiTheme="majorHAnsi" w:cstheme="majorHAnsi"/>
          <w:bCs/>
          <w:i/>
          <w:iCs/>
          <w:sz w:val="24"/>
          <w:szCs w:val="24"/>
        </w:rPr>
        <w:t>)</w:t>
      </w:r>
      <w:r w:rsidRPr="00E23B01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isolation and culture </w:t>
      </w:r>
    </w:p>
    <w:p w14:paraId="22FBBA9A" w14:textId="3D272912" w:rsidR="00216520" w:rsidRDefault="00E53F94" w:rsidP="006778B8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</w:t>
      </w:r>
      <w:r w:rsidR="004A425F">
        <w:rPr>
          <w:rFonts w:asciiTheme="majorHAnsi" w:hAnsiTheme="majorHAnsi" w:cstheme="majorHAnsi"/>
          <w:sz w:val="24"/>
          <w:szCs w:val="24"/>
        </w:rPr>
        <w:t>eripheral blood mononuclear cells</w:t>
      </w:r>
      <w:r>
        <w:rPr>
          <w:rFonts w:asciiTheme="majorHAnsi" w:hAnsiTheme="majorHAnsi" w:cstheme="majorHAnsi"/>
          <w:sz w:val="24"/>
          <w:szCs w:val="24"/>
        </w:rPr>
        <w:t xml:space="preserve"> were isolated by density gradient centrifugation (</w:t>
      </w:r>
      <w:proofErr w:type="spellStart"/>
      <w:r>
        <w:rPr>
          <w:rFonts w:asciiTheme="majorHAnsi" w:hAnsiTheme="majorHAnsi" w:cstheme="majorHAnsi"/>
          <w:sz w:val="24"/>
          <w:szCs w:val="24"/>
        </w:rPr>
        <w:t>Lymphoprep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theme="majorHAnsi"/>
          <w:sz w:val="24"/>
          <w:szCs w:val="24"/>
        </w:rPr>
        <w:t>Stemcell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Technologies, Inc. Vancouver, Canada) from peripheral blood of non-allergic</w:t>
      </w:r>
      <w:r w:rsidR="00B53CAC">
        <w:rPr>
          <w:rFonts w:asciiTheme="majorHAnsi" w:hAnsiTheme="majorHAnsi" w:cstheme="majorHAnsi"/>
          <w:sz w:val="24"/>
          <w:szCs w:val="24"/>
        </w:rPr>
        <w:t xml:space="preserve"> and pollen-allergic</w:t>
      </w:r>
      <w:r>
        <w:rPr>
          <w:rFonts w:asciiTheme="majorHAnsi" w:hAnsiTheme="majorHAnsi" w:cstheme="majorHAnsi"/>
          <w:sz w:val="24"/>
          <w:szCs w:val="24"/>
        </w:rPr>
        <w:t xml:space="preserve"> donors and monocytes were sorted via CD14 </w:t>
      </w:r>
      <w:proofErr w:type="spellStart"/>
      <w:r>
        <w:rPr>
          <w:rFonts w:asciiTheme="majorHAnsi" w:hAnsiTheme="majorHAnsi" w:cstheme="majorHAnsi"/>
          <w:sz w:val="24"/>
          <w:szCs w:val="24"/>
        </w:rPr>
        <w:t>MicroBeads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on an </w:t>
      </w:r>
      <w:proofErr w:type="spellStart"/>
      <w:r>
        <w:rPr>
          <w:rFonts w:asciiTheme="majorHAnsi" w:hAnsiTheme="majorHAnsi" w:cstheme="majorHAnsi"/>
          <w:sz w:val="24"/>
          <w:szCs w:val="24"/>
        </w:rPr>
        <w:t>autoMACS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separator (</w:t>
      </w:r>
      <w:proofErr w:type="spellStart"/>
      <w:r>
        <w:rPr>
          <w:rFonts w:asciiTheme="majorHAnsi" w:hAnsiTheme="majorHAnsi" w:cstheme="majorHAnsi"/>
          <w:sz w:val="24"/>
          <w:szCs w:val="24"/>
        </w:rPr>
        <w:t>Miltenyi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Biotech). Purified CD14</w:t>
      </w:r>
      <w:r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>
        <w:rPr>
          <w:rFonts w:asciiTheme="majorHAnsi" w:hAnsiTheme="majorHAnsi" w:cstheme="majorHAnsi"/>
          <w:sz w:val="24"/>
          <w:szCs w:val="24"/>
        </w:rPr>
        <w:t xml:space="preserve"> monocytes were cultured in the presence of 500 U/ml GM-CSF (</w:t>
      </w:r>
      <w:proofErr w:type="spellStart"/>
      <w:r>
        <w:rPr>
          <w:rFonts w:asciiTheme="majorHAnsi" w:hAnsiTheme="majorHAnsi" w:cstheme="majorHAnsi"/>
          <w:sz w:val="24"/>
          <w:szCs w:val="24"/>
        </w:rPr>
        <w:t>PromoKine</w:t>
      </w:r>
      <w:proofErr w:type="spellEnd"/>
      <w:r>
        <w:rPr>
          <w:rFonts w:asciiTheme="majorHAnsi" w:hAnsiTheme="majorHAnsi" w:cstheme="majorHAnsi"/>
          <w:sz w:val="24"/>
          <w:szCs w:val="24"/>
        </w:rPr>
        <w:t>, Heidelberg, Germany) and 50 U/ml IL-4 (</w:t>
      </w:r>
      <w:proofErr w:type="spellStart"/>
      <w:r>
        <w:rPr>
          <w:rFonts w:asciiTheme="majorHAnsi" w:hAnsiTheme="majorHAnsi" w:cstheme="majorHAnsi"/>
          <w:sz w:val="24"/>
          <w:szCs w:val="24"/>
        </w:rPr>
        <w:t>PeproTech</w:t>
      </w:r>
      <w:proofErr w:type="spellEnd"/>
      <w:r>
        <w:rPr>
          <w:rFonts w:asciiTheme="majorHAnsi" w:hAnsiTheme="majorHAnsi" w:cstheme="majorHAnsi"/>
          <w:sz w:val="24"/>
          <w:szCs w:val="24"/>
        </w:rPr>
        <w:t>) for 5 days as described before.</w:t>
      </w:r>
      <w:r w:rsidR="004F0CA4" w:rsidRPr="00020893">
        <w:rPr>
          <w:rFonts w:asciiTheme="majorHAnsi" w:hAnsiTheme="majorHAnsi" w:cstheme="majorHAnsi"/>
          <w:noProof/>
          <w:sz w:val="24"/>
          <w:szCs w:val="24"/>
          <w:vertAlign w:val="superscript"/>
        </w:rPr>
        <w:t xml:space="preserve"> 3</w:t>
      </w:r>
      <w:r>
        <w:rPr>
          <w:rFonts w:asciiTheme="majorHAnsi" w:hAnsiTheme="majorHAnsi" w:cstheme="majorHAnsi"/>
          <w:sz w:val="24"/>
          <w:szCs w:val="24"/>
        </w:rPr>
        <w:t xml:space="preserve"> Immature DCs were harvested and differentiation status was assessed by flow cytometry analysis </w:t>
      </w:r>
      <w:r w:rsidR="002D6A08">
        <w:rPr>
          <w:rFonts w:asciiTheme="majorHAnsi" w:hAnsiTheme="majorHAnsi" w:cstheme="majorHAnsi"/>
          <w:sz w:val="24"/>
          <w:szCs w:val="24"/>
        </w:rPr>
        <w:t>for viability</w:t>
      </w:r>
      <w:r w:rsidR="008826E6">
        <w:rPr>
          <w:rFonts w:asciiTheme="majorHAnsi" w:hAnsiTheme="majorHAnsi" w:cstheme="majorHAnsi"/>
          <w:sz w:val="24"/>
          <w:szCs w:val="24"/>
        </w:rPr>
        <w:t xml:space="preserve"> </w:t>
      </w:r>
      <w:r w:rsidR="002D6A08">
        <w:rPr>
          <w:rFonts w:asciiTheme="majorHAnsi" w:hAnsiTheme="majorHAnsi" w:cstheme="majorHAnsi"/>
          <w:sz w:val="24"/>
          <w:szCs w:val="24"/>
        </w:rPr>
        <w:t>and surface expression of</w:t>
      </w:r>
      <w:r>
        <w:rPr>
          <w:rFonts w:asciiTheme="majorHAnsi" w:hAnsiTheme="majorHAnsi" w:cstheme="majorHAnsi"/>
          <w:sz w:val="24"/>
          <w:szCs w:val="24"/>
        </w:rPr>
        <w:t xml:space="preserve"> CD14 and CD1a. On day 5, 1x10</w:t>
      </w:r>
      <w:r>
        <w:rPr>
          <w:rFonts w:asciiTheme="majorHAnsi" w:hAnsiTheme="majorHAnsi" w:cstheme="majorHAnsi"/>
          <w:sz w:val="24"/>
          <w:szCs w:val="24"/>
          <w:vertAlign w:val="superscript"/>
        </w:rPr>
        <w:t>5</w:t>
      </w:r>
      <w:r>
        <w:rPr>
          <w:rFonts w:asciiTheme="majorHAnsi" w:hAnsiTheme="majorHAnsi" w:cstheme="majorHAnsi"/>
          <w:sz w:val="24"/>
          <w:szCs w:val="24"/>
        </w:rPr>
        <w:t xml:space="preserve"> immature DCs</w:t>
      </w:r>
      <w:r w:rsidR="002D6A08">
        <w:rPr>
          <w:rFonts w:asciiTheme="majorHAnsi" w:hAnsiTheme="majorHAnsi" w:cstheme="majorHAnsi"/>
          <w:sz w:val="24"/>
          <w:szCs w:val="24"/>
        </w:rPr>
        <w:t xml:space="preserve"> (CD14</w:t>
      </w:r>
      <w:r w:rsidR="002D6A08" w:rsidRPr="008B10AB">
        <w:rPr>
          <w:rFonts w:asciiTheme="majorHAnsi" w:hAnsiTheme="majorHAnsi" w:cstheme="majorHAnsi"/>
          <w:sz w:val="24"/>
          <w:szCs w:val="24"/>
          <w:vertAlign w:val="superscript"/>
        </w:rPr>
        <w:t>-</w:t>
      </w:r>
      <w:r w:rsidR="002D6A08">
        <w:rPr>
          <w:rFonts w:asciiTheme="majorHAnsi" w:hAnsiTheme="majorHAnsi" w:cstheme="majorHAnsi"/>
          <w:sz w:val="24"/>
          <w:szCs w:val="24"/>
        </w:rPr>
        <w:t xml:space="preserve"> CD1a</w:t>
      </w:r>
      <w:r w:rsidR="002D6A08" w:rsidRPr="008B10AB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344497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2D6A08">
        <w:rPr>
          <w:rFonts w:asciiTheme="majorHAnsi" w:hAnsiTheme="majorHAnsi" w:cstheme="majorHAnsi"/>
          <w:sz w:val="24"/>
          <w:szCs w:val="24"/>
        </w:rPr>
        <w:t>; HLA-DR</w:t>
      </w:r>
      <w:r w:rsidR="002D6A08" w:rsidRPr="008B10AB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344497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2D6A08">
        <w:rPr>
          <w:rFonts w:asciiTheme="majorHAnsi" w:hAnsiTheme="majorHAnsi" w:cstheme="majorHAnsi"/>
          <w:sz w:val="24"/>
          <w:szCs w:val="24"/>
        </w:rPr>
        <w:t>, CD40</w:t>
      </w:r>
      <w:r w:rsidR="00344497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2D6A08">
        <w:rPr>
          <w:rFonts w:asciiTheme="majorHAnsi" w:hAnsiTheme="majorHAnsi" w:cstheme="majorHAnsi"/>
          <w:sz w:val="24"/>
          <w:szCs w:val="24"/>
        </w:rPr>
        <w:t>, CD80</w:t>
      </w:r>
      <w:r w:rsidR="002D6A08" w:rsidRPr="008B10AB">
        <w:rPr>
          <w:rFonts w:asciiTheme="majorHAnsi" w:hAnsiTheme="majorHAnsi" w:cstheme="majorHAnsi"/>
          <w:sz w:val="24"/>
          <w:szCs w:val="24"/>
          <w:vertAlign w:val="superscript"/>
        </w:rPr>
        <w:t>+</w:t>
      </w:r>
      <w:r w:rsidR="002D6A08">
        <w:rPr>
          <w:rFonts w:asciiTheme="majorHAnsi" w:hAnsiTheme="majorHAnsi" w:cstheme="majorHAnsi"/>
          <w:sz w:val="24"/>
          <w:szCs w:val="24"/>
        </w:rPr>
        <w:t>, CD86</w:t>
      </w:r>
      <w:r w:rsidR="002D6A08" w:rsidRPr="008B10AB">
        <w:rPr>
          <w:rFonts w:asciiTheme="majorHAnsi" w:hAnsiTheme="majorHAnsi" w:cstheme="majorHAnsi"/>
          <w:sz w:val="24"/>
          <w:szCs w:val="24"/>
          <w:vertAlign w:val="superscript"/>
        </w:rPr>
        <w:t>low</w:t>
      </w:r>
      <w:r w:rsidR="002D6A08">
        <w:rPr>
          <w:rFonts w:asciiTheme="majorHAnsi" w:hAnsiTheme="majorHAnsi" w:cstheme="majorHAnsi"/>
          <w:sz w:val="24"/>
          <w:szCs w:val="24"/>
        </w:rPr>
        <w:t>, CD83</w:t>
      </w:r>
      <w:r w:rsidR="00344497">
        <w:rPr>
          <w:rFonts w:asciiTheme="majorHAnsi" w:hAnsiTheme="majorHAnsi" w:cstheme="majorHAnsi"/>
          <w:sz w:val="24"/>
          <w:szCs w:val="24"/>
          <w:vertAlign w:val="superscript"/>
        </w:rPr>
        <w:t>-</w:t>
      </w:r>
      <w:r w:rsidR="002D6A08">
        <w:rPr>
          <w:rFonts w:asciiTheme="majorHAnsi" w:hAnsiTheme="majorHAnsi" w:cstheme="majorHAnsi"/>
          <w:sz w:val="24"/>
          <w:szCs w:val="24"/>
        </w:rPr>
        <w:t>, CCR7</w:t>
      </w:r>
      <w:r w:rsidR="002D6A08" w:rsidRPr="008B10AB">
        <w:rPr>
          <w:rFonts w:asciiTheme="majorHAnsi" w:hAnsiTheme="majorHAnsi" w:cstheme="majorHAnsi"/>
          <w:sz w:val="24"/>
          <w:szCs w:val="24"/>
          <w:vertAlign w:val="superscript"/>
        </w:rPr>
        <w:t>-</w:t>
      </w:r>
      <w:r w:rsidR="002D6A08">
        <w:rPr>
          <w:rFonts w:asciiTheme="majorHAnsi" w:hAnsiTheme="majorHAnsi" w:cstheme="majorHAnsi"/>
          <w:sz w:val="24"/>
          <w:szCs w:val="24"/>
        </w:rPr>
        <w:t>)</w:t>
      </w:r>
      <w:r>
        <w:rPr>
          <w:rFonts w:asciiTheme="majorHAnsi" w:hAnsiTheme="majorHAnsi" w:cstheme="majorHAnsi"/>
          <w:sz w:val="24"/>
          <w:szCs w:val="24"/>
        </w:rPr>
        <w:t xml:space="preserve"> were stimulated with RWE (RWE O</w:t>
      </w:r>
      <w:r>
        <w:rPr>
          <w:rFonts w:asciiTheme="majorHAnsi" w:hAnsiTheme="majorHAnsi" w:cstheme="majorHAnsi"/>
          <w:sz w:val="24"/>
          <w:szCs w:val="24"/>
          <w:vertAlign w:val="subscript"/>
        </w:rPr>
        <w:t xml:space="preserve">3 </w:t>
      </w:r>
      <w:r>
        <w:rPr>
          <w:rFonts w:asciiTheme="majorHAnsi" w:hAnsiTheme="majorHAnsi" w:cstheme="majorHAnsi"/>
          <w:sz w:val="24"/>
          <w:szCs w:val="24"/>
        </w:rPr>
        <w:t>80 ppb, RWE O</w:t>
      </w:r>
      <w:r>
        <w:rPr>
          <w:rFonts w:asciiTheme="majorHAnsi" w:hAnsiTheme="majorHAnsi" w:cstheme="majorHAnsi"/>
          <w:sz w:val="24"/>
          <w:szCs w:val="24"/>
          <w:vertAlign w:val="subscript"/>
        </w:rPr>
        <w:t xml:space="preserve">3 </w:t>
      </w:r>
      <w:r>
        <w:rPr>
          <w:rFonts w:asciiTheme="majorHAnsi" w:hAnsiTheme="majorHAnsi" w:cstheme="majorHAnsi"/>
          <w:sz w:val="24"/>
          <w:szCs w:val="24"/>
        </w:rPr>
        <w:t>120 ppb and respective controls, 0.6-2.5 mg/ml; medium as unstimulated control).  After 24 h of stimulation, supernatants were analyzed by ELISA for IL-10, TNFα (</w:t>
      </w:r>
      <w:proofErr w:type="spellStart"/>
      <w:r>
        <w:rPr>
          <w:rFonts w:asciiTheme="majorHAnsi" w:hAnsiTheme="majorHAnsi" w:cstheme="majorHAnsi"/>
          <w:sz w:val="24"/>
          <w:szCs w:val="24"/>
        </w:rPr>
        <w:t>BDOptEIA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theme="majorHAnsi"/>
          <w:sz w:val="24"/>
          <w:szCs w:val="24"/>
        </w:rPr>
        <w:t>BDBioscience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Pharmingen) and IL-6 (</w:t>
      </w:r>
      <w:proofErr w:type="spellStart"/>
      <w:r>
        <w:rPr>
          <w:rFonts w:asciiTheme="majorHAnsi" w:hAnsiTheme="majorHAnsi" w:cstheme="majorHAnsi"/>
          <w:sz w:val="24"/>
          <w:szCs w:val="24"/>
        </w:rPr>
        <w:t>eBioscience</w:t>
      </w:r>
      <w:proofErr w:type="spellEnd"/>
      <w:r>
        <w:rPr>
          <w:rFonts w:asciiTheme="majorHAnsi" w:hAnsiTheme="majorHAnsi" w:cstheme="majorHAnsi"/>
          <w:sz w:val="24"/>
          <w:szCs w:val="24"/>
        </w:rPr>
        <w:t>), and the cells were subjected to flow-cytometry.</w:t>
      </w:r>
    </w:p>
    <w:p w14:paraId="22FBBA9B" w14:textId="77777777" w:rsidR="00216520" w:rsidRPr="00E23B01" w:rsidRDefault="00E53F94" w:rsidP="006778B8">
      <w:pPr>
        <w:spacing w:before="240" w:after="0" w:line="360" w:lineRule="auto"/>
        <w:jc w:val="both"/>
        <w:rPr>
          <w:rFonts w:asciiTheme="majorHAnsi" w:hAnsiTheme="majorHAnsi" w:cstheme="majorHAnsi"/>
          <w:bCs/>
          <w:i/>
          <w:iCs/>
          <w:sz w:val="24"/>
          <w:szCs w:val="24"/>
        </w:rPr>
      </w:pPr>
      <w:r w:rsidRPr="00E23B01">
        <w:rPr>
          <w:rFonts w:asciiTheme="majorHAnsi" w:hAnsiTheme="majorHAnsi" w:cstheme="majorHAnsi"/>
          <w:bCs/>
          <w:i/>
          <w:iCs/>
          <w:sz w:val="24"/>
          <w:szCs w:val="24"/>
        </w:rPr>
        <w:t>Flow cytometric analysis of human DCs</w:t>
      </w:r>
    </w:p>
    <w:p w14:paraId="22FBBA9C" w14:textId="77777777" w:rsidR="00216520" w:rsidRDefault="00E53F94" w:rsidP="006778B8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For flow cytometric analysis, monocyte-derived DCs were harvested, pre-incubated with </w:t>
      </w:r>
      <w:proofErr w:type="spellStart"/>
      <w:r>
        <w:rPr>
          <w:rFonts w:asciiTheme="majorHAnsi" w:hAnsiTheme="majorHAnsi" w:cstheme="majorHAnsi"/>
          <w:sz w:val="24"/>
          <w:szCs w:val="24"/>
        </w:rPr>
        <w:t>FcR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blocking reagent (</w:t>
      </w:r>
      <w:proofErr w:type="spellStart"/>
      <w:r>
        <w:rPr>
          <w:rFonts w:asciiTheme="majorHAnsi" w:hAnsiTheme="majorHAnsi" w:cstheme="majorHAnsi"/>
          <w:sz w:val="24"/>
          <w:szCs w:val="24"/>
        </w:rPr>
        <w:t>Miltenyi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Biotech) and stained with fluorochrome-conjugated antibodies. For exclusion of non-viable cells, DCs were stained using PromoFluor840 (</w:t>
      </w:r>
      <w:proofErr w:type="spellStart"/>
      <w:r>
        <w:rPr>
          <w:rFonts w:asciiTheme="majorHAnsi" w:hAnsiTheme="majorHAnsi" w:cstheme="majorHAnsi"/>
          <w:sz w:val="24"/>
          <w:szCs w:val="24"/>
        </w:rPr>
        <w:t>PromoKine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). The surface expression of maturation and differentiation markers was assessed by multicolor flow cytometry analysis on a </w:t>
      </w:r>
      <w:proofErr w:type="spellStart"/>
      <w:r>
        <w:rPr>
          <w:rFonts w:asciiTheme="majorHAnsi" w:hAnsiTheme="majorHAnsi" w:cstheme="majorHAnsi"/>
          <w:sz w:val="24"/>
          <w:szCs w:val="24"/>
        </w:rPr>
        <w:t>CytoFlex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LX flow cytometer (Beckman Coulter GmbH, Krefeld, </w:t>
      </w:r>
      <w:r>
        <w:rPr>
          <w:rFonts w:asciiTheme="majorHAnsi" w:hAnsiTheme="majorHAnsi" w:cstheme="majorHAnsi"/>
          <w:sz w:val="24"/>
          <w:szCs w:val="24"/>
        </w:rPr>
        <w:lastRenderedPageBreak/>
        <w:t xml:space="preserve">Germany). </w:t>
      </w:r>
      <w:proofErr w:type="spellStart"/>
      <w:r>
        <w:rPr>
          <w:rFonts w:asciiTheme="majorHAnsi" w:hAnsiTheme="majorHAnsi" w:cstheme="majorHAnsi"/>
          <w:sz w:val="24"/>
          <w:szCs w:val="24"/>
        </w:rPr>
        <w:t>Kalooza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software 2.1. (Beckman Coulter) was used for data analysis.</w:t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 Antibodies used for flow cytometry are listed in Tab. S1 (human).</w:t>
      </w:r>
    </w:p>
    <w:p w14:paraId="22FBBAA3" w14:textId="77777777" w:rsidR="00216520" w:rsidRDefault="00216520">
      <w:pPr>
        <w:spacing w:after="0"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2FBBAA4" w14:textId="77777777" w:rsidR="00216520" w:rsidRDefault="00E53F94">
      <w:pPr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22FBBAA5" w14:textId="77777777" w:rsidR="00216520" w:rsidRDefault="00216520">
      <w:pPr>
        <w:spacing w:after="0"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2FBBAA6" w14:textId="77777777" w:rsidR="00216520" w:rsidRDefault="00E53F94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References</w:t>
      </w:r>
    </w:p>
    <w:p w14:paraId="22FBBAA7" w14:textId="77777777" w:rsidR="00216520" w:rsidRDefault="00216520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646E6265" w14:textId="7D9173B8" w:rsidR="00020893" w:rsidRPr="00020893" w:rsidRDefault="00020893" w:rsidP="00020893">
      <w:pPr>
        <w:pStyle w:val="EndNoteBibliography"/>
        <w:spacing w:after="0"/>
      </w:pPr>
      <w:r w:rsidRPr="00020893">
        <w:t>1.</w:t>
      </w:r>
      <w:r w:rsidRPr="00020893">
        <w:tab/>
        <w:t xml:space="preserve">Wang XL, Takai T, Kamijo S, Gunawan H, Ogawa H, Okumura K. NADPH oxidase activity in allergenic pollen grains of different plant species. </w:t>
      </w:r>
      <w:r w:rsidRPr="00020893">
        <w:rPr>
          <w:i/>
        </w:rPr>
        <w:t>Biochem Biophys Res Commun</w:t>
      </w:r>
      <w:r w:rsidRPr="00020893">
        <w:t>. Sep 25 2009;387(3):430-4. doi:10.1016/j.bbrc.2009.07.020</w:t>
      </w:r>
    </w:p>
    <w:p w14:paraId="33F4F723" w14:textId="33F80501" w:rsidR="00020893" w:rsidRPr="00020893" w:rsidRDefault="00020893" w:rsidP="00020893">
      <w:pPr>
        <w:pStyle w:val="EndNoteBibliography"/>
        <w:spacing w:after="0"/>
      </w:pPr>
      <w:r w:rsidRPr="00020893">
        <w:t>2.</w:t>
      </w:r>
      <w:r w:rsidRPr="00020893">
        <w:tab/>
        <w:t xml:space="preserve">Rodriguez-Riano T, Dafni A. A new procedure to asses pollen viability. </w:t>
      </w:r>
      <w:r w:rsidRPr="00020893">
        <w:rPr>
          <w:i/>
        </w:rPr>
        <w:t xml:space="preserve">Sex Plant Reprod </w:t>
      </w:r>
      <w:r w:rsidRPr="00020893">
        <w:t>2000;12:241–244. doi:</w:t>
      </w:r>
      <w:r w:rsidRPr="004F0CA4">
        <w:t>https://doi.org/10.1007/s004970050008</w:t>
      </w:r>
    </w:p>
    <w:p w14:paraId="06E37E8A" w14:textId="77777777" w:rsidR="00020893" w:rsidRPr="00020893" w:rsidRDefault="00020893" w:rsidP="00020893">
      <w:pPr>
        <w:pStyle w:val="EndNoteBibliography"/>
        <w:spacing w:after="0"/>
      </w:pPr>
      <w:r w:rsidRPr="00020893">
        <w:t>3.</w:t>
      </w:r>
      <w:r w:rsidRPr="00020893">
        <w:tab/>
        <w:t xml:space="preserve">Gilles S, Fekete A, Zhang X, et al. Pollen metabolome analysis reveals adenosine as a major regulator of dendritic cell-primed T(H) cell responses. </w:t>
      </w:r>
      <w:r w:rsidRPr="00020893">
        <w:rPr>
          <w:i/>
        </w:rPr>
        <w:t>J Allergy Clin Immunol</w:t>
      </w:r>
      <w:r w:rsidRPr="00020893">
        <w:t>. Feb 2011;127(2):454-461 e1-9. doi:10.1016/j.jaci.2010.12.1082</w:t>
      </w:r>
    </w:p>
    <w:p w14:paraId="30AF832E" w14:textId="77777777" w:rsidR="00020893" w:rsidRPr="00020893" w:rsidRDefault="00020893" w:rsidP="00020893">
      <w:pPr>
        <w:pStyle w:val="EndNoteBibliography"/>
        <w:spacing w:after="0"/>
      </w:pPr>
      <w:r w:rsidRPr="00020893">
        <w:t>4.</w:t>
      </w:r>
      <w:r w:rsidRPr="00020893">
        <w:tab/>
        <w:t xml:space="preserve">Tziotis D, Hertkorn N, Schmitt-Kopplin P. Kendrick-analogous network visualisation of ion cyclotron resonance Fourier transform mass spectra: improved options for the assignment of elemental compositions and the classification of organic molecular complexity. </w:t>
      </w:r>
      <w:r w:rsidRPr="00020893">
        <w:rPr>
          <w:i/>
        </w:rPr>
        <w:t>Eur J Mass Spectrom (Chichester)</w:t>
      </w:r>
      <w:r w:rsidRPr="00020893">
        <w:t>. 2011;17(4):415-21. doi:10.1255/ejms.1135</w:t>
      </w:r>
    </w:p>
    <w:p w14:paraId="60409897" w14:textId="415CB59E" w:rsidR="00020893" w:rsidRPr="00020893" w:rsidRDefault="00020893" w:rsidP="00020893">
      <w:pPr>
        <w:pStyle w:val="EndNoteBibliography"/>
        <w:spacing w:after="0"/>
      </w:pPr>
      <w:r w:rsidRPr="00020893">
        <w:t>5.</w:t>
      </w:r>
      <w:r w:rsidRPr="00020893">
        <w:tab/>
        <w:t xml:space="preserve">R Core Team. R: A Language and Environment for Statistical Computing. </w:t>
      </w:r>
      <w:r w:rsidRPr="00020893">
        <w:rPr>
          <w:i/>
        </w:rPr>
        <w:t>R Foundation for Statistical Computing, Vienna, Austria</w:t>
      </w:r>
      <w:r w:rsidRPr="00020893">
        <w:t>. 2025;doi:</w:t>
      </w:r>
      <w:r w:rsidRPr="004F0CA4">
        <w:t>https://www.R-project.org/</w:t>
      </w:r>
      <w:r w:rsidRPr="00020893">
        <w:t xml:space="preserve">. </w:t>
      </w:r>
    </w:p>
    <w:p w14:paraId="02739AAD" w14:textId="77777777" w:rsidR="00020893" w:rsidRPr="004A4C57" w:rsidRDefault="00020893" w:rsidP="00020893">
      <w:pPr>
        <w:pStyle w:val="EndNoteBibliography"/>
        <w:spacing w:after="0"/>
        <w:rPr>
          <w:lang w:val="fr-FR"/>
        </w:rPr>
      </w:pPr>
      <w:r w:rsidRPr="00020893">
        <w:t>6.</w:t>
      </w:r>
      <w:r w:rsidRPr="00020893">
        <w:tab/>
        <w:t xml:space="preserve">Rainer J, Vicini A, Salzer L, et al. A Modular and Expandable Ecosystem for Metabolomics Data Annotation in R. </w:t>
      </w:r>
      <w:r w:rsidRPr="00020893">
        <w:rPr>
          <w:i/>
        </w:rPr>
        <w:t>Metabolites</w:t>
      </w:r>
      <w:r w:rsidRPr="00020893">
        <w:t xml:space="preserve">. </w:t>
      </w:r>
      <w:r w:rsidRPr="004A4C57">
        <w:rPr>
          <w:lang w:val="fr-FR"/>
        </w:rPr>
        <w:t>Feb 11 2022;12(2)doi:10.3390/metabo12020173</w:t>
      </w:r>
    </w:p>
    <w:p w14:paraId="798DCF29" w14:textId="77777777" w:rsidR="00020893" w:rsidRPr="00020893" w:rsidRDefault="00020893" w:rsidP="00020893">
      <w:pPr>
        <w:pStyle w:val="EndNoteBibliography"/>
        <w:spacing w:after="0"/>
      </w:pPr>
      <w:r w:rsidRPr="004A4C57">
        <w:rPr>
          <w:lang w:val="fr-FR"/>
        </w:rPr>
        <w:t>7.</w:t>
      </w:r>
      <w:r w:rsidRPr="004A4C57">
        <w:rPr>
          <w:lang w:val="fr-FR"/>
        </w:rPr>
        <w:tab/>
        <w:t xml:space="preserve">Sud M, Fahy E, Cotter D, et al. </w:t>
      </w:r>
      <w:r w:rsidRPr="00020893">
        <w:t xml:space="preserve">Metabolomics Workbench: An international repository for metabolomics data and metadata, metabolite standards, protocols, tutorials and training, and analysis tools. </w:t>
      </w:r>
      <w:r w:rsidRPr="00020893">
        <w:rPr>
          <w:i/>
        </w:rPr>
        <w:t>Nucleic Acids Res</w:t>
      </w:r>
      <w:r w:rsidRPr="00020893">
        <w:t>. Jan 4 2016;44(D1):D463-70. doi:10.1093/nar/gkv1042</w:t>
      </w:r>
    </w:p>
    <w:p w14:paraId="0E8538F8" w14:textId="77777777" w:rsidR="00020893" w:rsidRPr="00020893" w:rsidRDefault="00020893" w:rsidP="00020893">
      <w:pPr>
        <w:pStyle w:val="EndNoteBibliography"/>
        <w:spacing w:after="0"/>
      </w:pPr>
      <w:r w:rsidRPr="00020893">
        <w:t>8.</w:t>
      </w:r>
      <w:r w:rsidRPr="00020893">
        <w:tab/>
        <w:t xml:space="preserve">Rivas-Ubach A, Liu Y, Bianchi TS, Tolic N, Jansson C, Pasa-Tolic L. Moving beyond the van Krevelen Diagram: A New Stoichiometric Approach for Compound Classification in Organisms. </w:t>
      </w:r>
      <w:r w:rsidRPr="00020893">
        <w:rPr>
          <w:i/>
        </w:rPr>
        <w:t>Anal Chem</w:t>
      </w:r>
      <w:r w:rsidRPr="00020893">
        <w:t>. May 15 2018;90(10):6152-6160. doi:10.1021/acs.analchem.8b00529</w:t>
      </w:r>
    </w:p>
    <w:p w14:paraId="6CA5AC35" w14:textId="77777777" w:rsidR="00020893" w:rsidRPr="00020893" w:rsidRDefault="00020893" w:rsidP="00020893">
      <w:pPr>
        <w:pStyle w:val="EndNoteBibliography"/>
        <w:spacing w:after="0"/>
      </w:pPr>
      <w:r w:rsidRPr="00020893">
        <w:t>9.</w:t>
      </w:r>
      <w:r w:rsidRPr="00020893">
        <w:tab/>
        <w:t xml:space="preserve">Wimmer M, Alessandrini F, Gilles S, et al. Pollen-derived adenosine is a necessary cofactor for ragweed allergy. </w:t>
      </w:r>
      <w:r w:rsidRPr="00020893">
        <w:rPr>
          <w:i/>
        </w:rPr>
        <w:t>Allergy</w:t>
      </w:r>
      <w:r w:rsidRPr="00020893">
        <w:t>. Aug 2015;70(8):944-54. doi:10.1111/all.12642</w:t>
      </w:r>
    </w:p>
    <w:p w14:paraId="6658742A" w14:textId="77777777" w:rsidR="00020893" w:rsidRPr="00020893" w:rsidRDefault="00020893" w:rsidP="00020893">
      <w:pPr>
        <w:pStyle w:val="EndNoteBibliography"/>
      </w:pPr>
      <w:r w:rsidRPr="00020893">
        <w:t>10.</w:t>
      </w:r>
      <w:r w:rsidRPr="00020893">
        <w:tab/>
        <w:t xml:space="preserve">Alessandrini F, Schulz H, Takenaka S, et al. Effects of ultrafine carbon particle inhalation on allergic inflammation of the lung. </w:t>
      </w:r>
      <w:r w:rsidRPr="00020893">
        <w:rPr>
          <w:i/>
        </w:rPr>
        <w:t>J Allergy Clin Immunol</w:t>
      </w:r>
      <w:r w:rsidRPr="00020893">
        <w:t>. Apr 2006;117(4):824-30. doi:10.1016/j.jaci.2005.11.046</w:t>
      </w:r>
    </w:p>
    <w:p w14:paraId="5418767B" w14:textId="4CE4B8C6" w:rsidR="00E758A2" w:rsidRPr="00EB035A" w:rsidRDefault="00E758A2" w:rsidP="00EB035A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sectPr w:rsidR="00E758A2" w:rsidRPr="00EB035A" w:rsidSect="003E597A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4F45" w14:textId="77777777" w:rsidR="00E352AA" w:rsidRDefault="00E352AA">
      <w:pPr>
        <w:spacing w:after="0" w:line="240" w:lineRule="auto"/>
      </w:pPr>
      <w:r>
        <w:separator/>
      </w:r>
    </w:p>
  </w:endnote>
  <w:endnote w:type="continuationSeparator" w:id="0">
    <w:p w14:paraId="31A0A851" w14:textId="77777777" w:rsidR="00E352AA" w:rsidRDefault="00E3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Rotis SemiSans Std ExtraBold">
    <w:altName w:val="Cambria"/>
    <w:charset w:val="00"/>
    <w:family w:val="swiss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01524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FBBABD" w14:textId="77777777" w:rsidR="00216520" w:rsidRDefault="00E53F94">
        <w:pPr>
          <w:pStyle w:val="Fu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9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2FBBABE" w14:textId="77777777" w:rsidR="00216520" w:rsidRDefault="0021652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A5A0" w14:textId="77777777" w:rsidR="00E352AA" w:rsidRDefault="00E352AA">
      <w:pPr>
        <w:spacing w:after="0" w:line="240" w:lineRule="auto"/>
      </w:pPr>
      <w:r>
        <w:separator/>
      </w:r>
    </w:p>
  </w:footnote>
  <w:footnote w:type="continuationSeparator" w:id="0">
    <w:p w14:paraId="0A790156" w14:textId="77777777" w:rsidR="00E352AA" w:rsidRDefault="00E35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BBABC" w14:textId="55DF4227" w:rsidR="00216520" w:rsidRPr="003D0044" w:rsidRDefault="003D0044">
    <w:pPr>
      <w:pStyle w:val="Kopfzeile"/>
      <w:jc w:val="right"/>
      <w:rPr>
        <w:rFonts w:asciiTheme="majorHAnsi" w:hAnsiTheme="majorHAnsi"/>
        <w:i/>
        <w:sz w:val="24"/>
        <w:lang w:val="fr-FR"/>
      </w:rPr>
    </w:pPr>
    <w:r w:rsidRPr="003D0044">
      <w:rPr>
        <w:rFonts w:asciiTheme="majorHAnsi" w:hAnsiTheme="majorHAnsi"/>
        <w:i/>
        <w:sz w:val="24"/>
        <w:lang w:val="fr-FR"/>
      </w:rPr>
      <w:t xml:space="preserve">F. Alessandrini et al </w:t>
    </w:r>
    <w:r w:rsidR="00C73C03">
      <w:rPr>
        <w:rFonts w:asciiTheme="majorHAnsi" w:hAnsiTheme="majorHAnsi"/>
        <w:i/>
        <w:sz w:val="24"/>
        <w:lang w:val="fr-FR"/>
      </w:rPr>
      <w:t>–</w:t>
    </w:r>
    <w:r w:rsidRPr="003D0044">
      <w:rPr>
        <w:rFonts w:asciiTheme="majorHAnsi" w:hAnsiTheme="majorHAnsi"/>
        <w:i/>
        <w:sz w:val="24"/>
        <w:lang w:val="fr-FR"/>
      </w:rPr>
      <w:t xml:space="preserve"> </w:t>
    </w:r>
    <w:proofErr w:type="spellStart"/>
    <w:r w:rsidR="00B64206">
      <w:rPr>
        <w:rFonts w:asciiTheme="majorHAnsi" w:hAnsiTheme="majorHAnsi"/>
        <w:i/>
        <w:sz w:val="24"/>
        <w:lang w:val="fr-FR"/>
      </w:rPr>
      <w:t>S</w:t>
    </w:r>
    <w:r w:rsidR="00E53F94" w:rsidRPr="003D0044">
      <w:rPr>
        <w:rFonts w:asciiTheme="majorHAnsi" w:hAnsiTheme="majorHAnsi"/>
        <w:i/>
        <w:sz w:val="24"/>
        <w:lang w:val="fr-FR"/>
      </w:rPr>
      <w:t>upplement</w:t>
    </w:r>
    <w:r w:rsidR="00B64206">
      <w:rPr>
        <w:rFonts w:asciiTheme="majorHAnsi" w:hAnsiTheme="majorHAnsi"/>
        <w:i/>
        <w:sz w:val="24"/>
        <w:lang w:val="fr-FR"/>
      </w:rPr>
      <w:t>a</w:t>
    </w:r>
    <w:r w:rsidR="00C73C03">
      <w:rPr>
        <w:rFonts w:asciiTheme="majorHAnsi" w:hAnsiTheme="majorHAnsi"/>
        <w:i/>
        <w:sz w:val="24"/>
        <w:lang w:val="fr-FR"/>
      </w:rPr>
      <w:t>ry</w:t>
    </w:r>
    <w:proofErr w:type="spellEnd"/>
    <w:r w:rsidR="00C73C03">
      <w:rPr>
        <w:rFonts w:asciiTheme="majorHAnsi" w:hAnsiTheme="majorHAnsi"/>
        <w:i/>
        <w:sz w:val="24"/>
        <w:lang w:val="fr-FR"/>
      </w:rPr>
      <w:t xml:space="preserve"> </w:t>
    </w:r>
    <w:proofErr w:type="spellStart"/>
    <w:r w:rsidR="00C73C03">
      <w:rPr>
        <w:rFonts w:asciiTheme="majorHAnsi" w:hAnsiTheme="majorHAnsi"/>
        <w:i/>
        <w:sz w:val="24"/>
        <w:lang w:val="fr-FR"/>
      </w:rPr>
      <w:t>methods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4112E0"/>
    <w:multiLevelType w:val="hybridMultilevel"/>
    <w:tmpl w:val="A3E40E70"/>
    <w:lvl w:ilvl="0" w:tplc="12C2EA22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sz w:val="24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6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JAMA&lt;/Style&gt;&lt;LeftDelim&gt;{&lt;/LeftDelim&gt;&lt;RightDelim&gt;}&lt;/RightDelim&gt;&lt;FontName&gt;Cambria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etwfzv9zt5ptteffz1parxbaveze9t9d0z2&quot;&gt;EndNote Library-ozone&lt;record-ids&gt;&lt;item&gt;36&lt;/item&gt;&lt;item&gt;37&lt;/item&gt;&lt;item&gt;76&lt;/item&gt;&lt;item&gt;83&lt;/item&gt;&lt;item&gt;87&lt;/item&gt;&lt;item&gt;88&lt;/item&gt;&lt;item&gt;90&lt;/item&gt;&lt;item&gt;96&lt;/item&gt;&lt;item&gt;99&lt;/item&gt;&lt;item&gt;115&lt;/item&gt;&lt;/record-ids&gt;&lt;/item&gt;&lt;/Libraries&gt;"/>
  </w:docVars>
  <w:rsids>
    <w:rsidRoot w:val="00216520"/>
    <w:rsid w:val="0000516F"/>
    <w:rsid w:val="0000528C"/>
    <w:rsid w:val="00005857"/>
    <w:rsid w:val="0001597E"/>
    <w:rsid w:val="00020893"/>
    <w:rsid w:val="00032C76"/>
    <w:rsid w:val="00053027"/>
    <w:rsid w:val="000610C3"/>
    <w:rsid w:val="000666B4"/>
    <w:rsid w:val="00087AF4"/>
    <w:rsid w:val="0009091A"/>
    <w:rsid w:val="000B4588"/>
    <w:rsid w:val="000B620D"/>
    <w:rsid w:val="000C139A"/>
    <w:rsid w:val="000C3B7D"/>
    <w:rsid w:val="000C3F8D"/>
    <w:rsid w:val="000D49C3"/>
    <w:rsid w:val="00102BD1"/>
    <w:rsid w:val="00102C94"/>
    <w:rsid w:val="00111FEC"/>
    <w:rsid w:val="00125B08"/>
    <w:rsid w:val="001420DA"/>
    <w:rsid w:val="0014676A"/>
    <w:rsid w:val="0014700C"/>
    <w:rsid w:val="0016534C"/>
    <w:rsid w:val="001945E3"/>
    <w:rsid w:val="001956AC"/>
    <w:rsid w:val="001A2BD6"/>
    <w:rsid w:val="001A2F67"/>
    <w:rsid w:val="001B4E55"/>
    <w:rsid w:val="001B6807"/>
    <w:rsid w:val="001D2276"/>
    <w:rsid w:val="001D6C74"/>
    <w:rsid w:val="001F2AD4"/>
    <w:rsid w:val="0020524A"/>
    <w:rsid w:val="00205FF9"/>
    <w:rsid w:val="00216520"/>
    <w:rsid w:val="0022184C"/>
    <w:rsid w:val="00231969"/>
    <w:rsid w:val="00237194"/>
    <w:rsid w:val="00244056"/>
    <w:rsid w:val="00244E74"/>
    <w:rsid w:val="0025520F"/>
    <w:rsid w:val="0026319A"/>
    <w:rsid w:val="00263E4C"/>
    <w:rsid w:val="00275237"/>
    <w:rsid w:val="002813A0"/>
    <w:rsid w:val="00286A94"/>
    <w:rsid w:val="002C1667"/>
    <w:rsid w:val="002D4414"/>
    <w:rsid w:val="002D6A08"/>
    <w:rsid w:val="002F3880"/>
    <w:rsid w:val="00311538"/>
    <w:rsid w:val="0032794D"/>
    <w:rsid w:val="0033709F"/>
    <w:rsid w:val="00343497"/>
    <w:rsid w:val="00343C20"/>
    <w:rsid w:val="00344497"/>
    <w:rsid w:val="003509B8"/>
    <w:rsid w:val="003710D4"/>
    <w:rsid w:val="003963F6"/>
    <w:rsid w:val="003A3315"/>
    <w:rsid w:val="003B722F"/>
    <w:rsid w:val="003C195F"/>
    <w:rsid w:val="003C2061"/>
    <w:rsid w:val="003D0044"/>
    <w:rsid w:val="003D2610"/>
    <w:rsid w:val="003E33C6"/>
    <w:rsid w:val="003E597A"/>
    <w:rsid w:val="003E6772"/>
    <w:rsid w:val="003F2997"/>
    <w:rsid w:val="003F447D"/>
    <w:rsid w:val="004014D2"/>
    <w:rsid w:val="0040217C"/>
    <w:rsid w:val="00403D37"/>
    <w:rsid w:val="00403D38"/>
    <w:rsid w:val="004135CB"/>
    <w:rsid w:val="00434D7D"/>
    <w:rsid w:val="004516A3"/>
    <w:rsid w:val="0045567F"/>
    <w:rsid w:val="00475330"/>
    <w:rsid w:val="004754FE"/>
    <w:rsid w:val="00483C34"/>
    <w:rsid w:val="004A1F77"/>
    <w:rsid w:val="004A425F"/>
    <w:rsid w:val="004A4C57"/>
    <w:rsid w:val="004C70AB"/>
    <w:rsid w:val="004D6630"/>
    <w:rsid w:val="004E026C"/>
    <w:rsid w:val="004E215B"/>
    <w:rsid w:val="004F0786"/>
    <w:rsid w:val="004F0CA4"/>
    <w:rsid w:val="0051625E"/>
    <w:rsid w:val="00533742"/>
    <w:rsid w:val="00562B26"/>
    <w:rsid w:val="00577BE6"/>
    <w:rsid w:val="005801FF"/>
    <w:rsid w:val="00592F82"/>
    <w:rsid w:val="005961E8"/>
    <w:rsid w:val="005B0466"/>
    <w:rsid w:val="005C0C16"/>
    <w:rsid w:val="005C2235"/>
    <w:rsid w:val="005D355C"/>
    <w:rsid w:val="005F629B"/>
    <w:rsid w:val="00616B32"/>
    <w:rsid w:val="00624648"/>
    <w:rsid w:val="006252D3"/>
    <w:rsid w:val="006308C3"/>
    <w:rsid w:val="006419D0"/>
    <w:rsid w:val="006474C1"/>
    <w:rsid w:val="00651BFC"/>
    <w:rsid w:val="006620D1"/>
    <w:rsid w:val="00666209"/>
    <w:rsid w:val="006778B8"/>
    <w:rsid w:val="00691B17"/>
    <w:rsid w:val="006B7DFE"/>
    <w:rsid w:val="006E6DFB"/>
    <w:rsid w:val="006F550C"/>
    <w:rsid w:val="007048BA"/>
    <w:rsid w:val="00715C21"/>
    <w:rsid w:val="007178E0"/>
    <w:rsid w:val="0072706C"/>
    <w:rsid w:val="007350F5"/>
    <w:rsid w:val="00744E77"/>
    <w:rsid w:val="00751F93"/>
    <w:rsid w:val="00762010"/>
    <w:rsid w:val="00763868"/>
    <w:rsid w:val="00770330"/>
    <w:rsid w:val="00773BD7"/>
    <w:rsid w:val="00774F42"/>
    <w:rsid w:val="0077674D"/>
    <w:rsid w:val="0079273A"/>
    <w:rsid w:val="0079464B"/>
    <w:rsid w:val="0079651C"/>
    <w:rsid w:val="00797D3F"/>
    <w:rsid w:val="007A005C"/>
    <w:rsid w:val="007B198C"/>
    <w:rsid w:val="007B5EEE"/>
    <w:rsid w:val="007C2CE6"/>
    <w:rsid w:val="007E22A8"/>
    <w:rsid w:val="007E7AFE"/>
    <w:rsid w:val="007F63B4"/>
    <w:rsid w:val="00801496"/>
    <w:rsid w:val="00857FD2"/>
    <w:rsid w:val="00881F1B"/>
    <w:rsid w:val="008826E6"/>
    <w:rsid w:val="0088671E"/>
    <w:rsid w:val="00891DB4"/>
    <w:rsid w:val="008A0166"/>
    <w:rsid w:val="008B0A8B"/>
    <w:rsid w:val="008B10AB"/>
    <w:rsid w:val="008E2415"/>
    <w:rsid w:val="008F58BC"/>
    <w:rsid w:val="00925A79"/>
    <w:rsid w:val="0093280B"/>
    <w:rsid w:val="0093495A"/>
    <w:rsid w:val="0094017C"/>
    <w:rsid w:val="00950305"/>
    <w:rsid w:val="00972F3C"/>
    <w:rsid w:val="009802C3"/>
    <w:rsid w:val="009A7085"/>
    <w:rsid w:val="009B0633"/>
    <w:rsid w:val="009C0EE5"/>
    <w:rsid w:val="009C75EE"/>
    <w:rsid w:val="009D136F"/>
    <w:rsid w:val="009F6D4F"/>
    <w:rsid w:val="00A07340"/>
    <w:rsid w:val="00A10D8B"/>
    <w:rsid w:val="00A16C47"/>
    <w:rsid w:val="00A21731"/>
    <w:rsid w:val="00A3525A"/>
    <w:rsid w:val="00A358D6"/>
    <w:rsid w:val="00A429B0"/>
    <w:rsid w:val="00A512C4"/>
    <w:rsid w:val="00A753C5"/>
    <w:rsid w:val="00A8498B"/>
    <w:rsid w:val="00A874B3"/>
    <w:rsid w:val="00A96912"/>
    <w:rsid w:val="00AA4A17"/>
    <w:rsid w:val="00AA6F37"/>
    <w:rsid w:val="00AB140E"/>
    <w:rsid w:val="00AB42CF"/>
    <w:rsid w:val="00AF0B70"/>
    <w:rsid w:val="00AF76E8"/>
    <w:rsid w:val="00B06106"/>
    <w:rsid w:val="00B23043"/>
    <w:rsid w:val="00B2782E"/>
    <w:rsid w:val="00B36EF9"/>
    <w:rsid w:val="00B53CAC"/>
    <w:rsid w:val="00B62E0A"/>
    <w:rsid w:val="00B64206"/>
    <w:rsid w:val="00B65133"/>
    <w:rsid w:val="00B91524"/>
    <w:rsid w:val="00B91773"/>
    <w:rsid w:val="00B96088"/>
    <w:rsid w:val="00BA421C"/>
    <w:rsid w:val="00BA4C20"/>
    <w:rsid w:val="00BB1DFA"/>
    <w:rsid w:val="00BB7A3E"/>
    <w:rsid w:val="00BC26F2"/>
    <w:rsid w:val="00BD6B90"/>
    <w:rsid w:val="00BE1D19"/>
    <w:rsid w:val="00C10D10"/>
    <w:rsid w:val="00C13895"/>
    <w:rsid w:val="00C14382"/>
    <w:rsid w:val="00C16ECB"/>
    <w:rsid w:val="00C21268"/>
    <w:rsid w:val="00C32D19"/>
    <w:rsid w:val="00C36236"/>
    <w:rsid w:val="00C55E50"/>
    <w:rsid w:val="00C56BA6"/>
    <w:rsid w:val="00C5747A"/>
    <w:rsid w:val="00C6667F"/>
    <w:rsid w:val="00C73C03"/>
    <w:rsid w:val="00C81E28"/>
    <w:rsid w:val="00C93328"/>
    <w:rsid w:val="00C949D2"/>
    <w:rsid w:val="00CB455B"/>
    <w:rsid w:val="00CB560F"/>
    <w:rsid w:val="00CC57A1"/>
    <w:rsid w:val="00CE7532"/>
    <w:rsid w:val="00CF232B"/>
    <w:rsid w:val="00D0082A"/>
    <w:rsid w:val="00D104CD"/>
    <w:rsid w:val="00D11332"/>
    <w:rsid w:val="00D122A7"/>
    <w:rsid w:val="00D23E6C"/>
    <w:rsid w:val="00D32B00"/>
    <w:rsid w:val="00D53C9A"/>
    <w:rsid w:val="00D57EA2"/>
    <w:rsid w:val="00D85224"/>
    <w:rsid w:val="00D85F13"/>
    <w:rsid w:val="00D866D4"/>
    <w:rsid w:val="00D92F2E"/>
    <w:rsid w:val="00DC6A01"/>
    <w:rsid w:val="00DD6168"/>
    <w:rsid w:val="00DE0547"/>
    <w:rsid w:val="00E07F43"/>
    <w:rsid w:val="00E10CCA"/>
    <w:rsid w:val="00E157CE"/>
    <w:rsid w:val="00E23B01"/>
    <w:rsid w:val="00E352AA"/>
    <w:rsid w:val="00E423A7"/>
    <w:rsid w:val="00E53F94"/>
    <w:rsid w:val="00E55E99"/>
    <w:rsid w:val="00E609AE"/>
    <w:rsid w:val="00E758A2"/>
    <w:rsid w:val="00EB035A"/>
    <w:rsid w:val="00EB25D7"/>
    <w:rsid w:val="00EB5826"/>
    <w:rsid w:val="00EB7646"/>
    <w:rsid w:val="00EC6612"/>
    <w:rsid w:val="00ED323A"/>
    <w:rsid w:val="00EF52D0"/>
    <w:rsid w:val="00F22776"/>
    <w:rsid w:val="00F51C58"/>
    <w:rsid w:val="00F51DF6"/>
    <w:rsid w:val="00F61CB3"/>
    <w:rsid w:val="00F70B86"/>
    <w:rsid w:val="00F75019"/>
    <w:rsid w:val="00F9243E"/>
    <w:rsid w:val="00F9273F"/>
    <w:rsid w:val="00FA726A"/>
    <w:rsid w:val="00FD145F"/>
    <w:rsid w:val="00FD19AD"/>
    <w:rsid w:val="00FF31FF"/>
    <w:rsid w:val="00FF4151"/>
    <w:rsid w:val="00FF7522"/>
    <w:rsid w:val="2383162A"/>
    <w:rsid w:val="60BCE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FBBA77"/>
  <w14:defaultImageDpi w14:val="300"/>
  <w15:docId w15:val="{7421712C-AE9D-4A60-95F1-6C1385A9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eastAsiaTheme="minorHAnsi"/>
      <w:sz w:val="22"/>
      <w:szCs w:val="22"/>
      <w:lang w:val="en-US" w:eastAsia="en-US"/>
    </w:rPr>
  </w:style>
  <w:style w:type="paragraph" w:styleId="berschrift3">
    <w:name w:val="heading 3"/>
    <w:basedOn w:val="Standard"/>
    <w:link w:val="berschrift3Zchn"/>
    <w:uiPriority w:val="9"/>
    <w:semiHidden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="Times New Roman" w:eastAsia="Times New Roman" w:hAnsi="Times New Roman" w:cs="Times New Roman"/>
      <w:b/>
      <w:bCs/>
      <w:sz w:val="27"/>
      <w:szCs w:val="27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eastAsiaTheme="minorHAnsi"/>
      <w:sz w:val="20"/>
      <w:szCs w:val="20"/>
      <w:lang w:val="en-US" w:eastAsia="en-US"/>
    </w:rPr>
  </w:style>
  <w:style w:type="paragraph" w:customStyle="1" w:styleId="p">
    <w:name w:val="p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Lucida Grande" w:eastAsiaTheme="minorHAnsi" w:hAnsi="Lucida Grande" w:cs="Lucida Grande"/>
      <w:sz w:val="18"/>
      <w:szCs w:val="18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eastAsiaTheme="minorHAnsi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eastAsiaTheme="minorHAnsi"/>
      <w:sz w:val="22"/>
      <w:szCs w:val="22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eastAsiaTheme="minorHAnsi"/>
      <w:b/>
      <w:bCs/>
      <w:sz w:val="20"/>
      <w:szCs w:val="20"/>
      <w:lang w:val="en-US" w:eastAsia="en-US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paragraph" w:customStyle="1" w:styleId="Pa2">
    <w:name w:val="Pa2"/>
    <w:basedOn w:val="Standard"/>
    <w:next w:val="Standard"/>
    <w:link w:val="Pa2Zchn"/>
    <w:uiPriority w:val="99"/>
    <w:pPr>
      <w:autoSpaceDE w:val="0"/>
      <w:autoSpaceDN w:val="0"/>
      <w:adjustRightInd w:val="0"/>
      <w:spacing w:after="0" w:line="191" w:lineRule="atLeast"/>
    </w:pPr>
    <w:rPr>
      <w:rFonts w:ascii="Rotis SemiSans Std ExtraBold" w:eastAsia="Calibri" w:hAnsi="Rotis SemiSans Std ExtraBold" w:cs="Times New Roman"/>
      <w:sz w:val="24"/>
      <w:szCs w:val="24"/>
      <w:lang w:val="de-DE" w:eastAsia="de-DE"/>
    </w:rPr>
  </w:style>
  <w:style w:type="character" w:customStyle="1" w:styleId="st">
    <w:name w:val="st"/>
  </w:style>
  <w:style w:type="paragraph" w:styleId="KeinLeerraum">
    <w:name w:val="No Spacing"/>
    <w:link w:val="KeinLeerraumZchn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21">
    <w:name w:val="Grid Table 21"/>
    <w:basedOn w:val="NormaleTabelle"/>
    <w:uiPriority w:val="47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itternetztabelle21">
    <w:name w:val="Gitternetztabelle 21"/>
    <w:basedOn w:val="NormaleTabelle"/>
    <w:uiPriority w:val="47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EndNoteBibliographyTitle">
    <w:name w:val="EndNote Bibliography Title"/>
    <w:basedOn w:val="Standard"/>
    <w:link w:val="EndNoteBibliographyTitleZchn"/>
    <w:pPr>
      <w:spacing w:after="0"/>
      <w:jc w:val="center"/>
    </w:pPr>
    <w:rPr>
      <w:rFonts w:ascii="Cambria" w:hAnsi="Cambria"/>
      <w:noProof/>
    </w:rPr>
  </w:style>
  <w:style w:type="character" w:customStyle="1" w:styleId="Pa2Zchn">
    <w:name w:val="Pa2 Zchn"/>
    <w:basedOn w:val="Absatz-Standardschriftart"/>
    <w:link w:val="Pa2"/>
    <w:uiPriority w:val="99"/>
    <w:rPr>
      <w:rFonts w:ascii="Rotis SemiSans Std ExtraBold" w:eastAsia="Calibri" w:hAnsi="Rotis SemiSans Std ExtraBold" w:cs="Times New Roman"/>
    </w:rPr>
  </w:style>
  <w:style w:type="character" w:customStyle="1" w:styleId="EndNoteBibliographyTitleZchn">
    <w:name w:val="EndNote Bibliography Title Zchn"/>
    <w:basedOn w:val="Pa2Zchn"/>
    <w:link w:val="EndNoteBibliographyTitle"/>
    <w:rPr>
      <w:rFonts w:ascii="Cambria" w:eastAsiaTheme="minorHAnsi" w:hAnsi="Cambria" w:cs="Times New Roman"/>
      <w:noProof/>
      <w:sz w:val="22"/>
      <w:szCs w:val="22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pPr>
      <w:spacing w:line="240" w:lineRule="auto"/>
    </w:pPr>
    <w:rPr>
      <w:rFonts w:ascii="Cambria" w:hAnsi="Cambria"/>
      <w:noProof/>
    </w:rPr>
  </w:style>
  <w:style w:type="character" w:customStyle="1" w:styleId="EndNoteBibliographyZchn">
    <w:name w:val="EndNote Bibliography Zchn"/>
    <w:basedOn w:val="Pa2Zchn"/>
    <w:link w:val="EndNoteBibliography"/>
    <w:rPr>
      <w:rFonts w:ascii="Cambria" w:eastAsiaTheme="minorHAnsi" w:hAnsi="Cambria" w:cs="Times New Roman"/>
      <w:noProof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39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0C3B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D19AD"/>
    <w:rPr>
      <w:rFonts w:eastAsiaTheme="minorHAnsi"/>
      <w:sz w:val="22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rsid w:val="00FF31F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Zeilennummer">
    <w:name w:val="line number"/>
    <w:basedOn w:val="Absatz-Standardschriftart"/>
    <w:uiPriority w:val="99"/>
    <w:semiHidden/>
    <w:unhideWhenUsed/>
    <w:rsid w:val="00C66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3CBD-3A16-431A-9527-A81E2CC2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1970</Words>
  <Characters>12414</Characters>
  <Application>Microsoft Office Word</Application>
  <DocSecurity>0</DocSecurity>
  <Lines>103</Lines>
  <Paragraphs>28</Paragraphs>
  <ScaleCrop>false</ScaleCrop>
  <Company>UNIKA-T TUM</Company>
  <LinksUpToDate>false</LinksUpToDate>
  <CharactersWithSpaces>14356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Stefanie Gilles</dc:creator>
  <cp:lastModifiedBy>Francesca Alessandrini,  Prof. Dr.</cp:lastModifiedBy>
  <cp:revision>3</cp:revision>
  <cp:lastPrinted>2025-11-20T08:15:00Z</cp:lastPrinted>
  <dcterms:created xsi:type="dcterms:W3CDTF">2026-03-29T16:09:00Z</dcterms:created>
  <dcterms:modified xsi:type="dcterms:W3CDTF">2026-03-29T16:09:00Z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c17dc2d4-257a-4d6b-956d-caeeb7b37fe1</vt:lpwstr>
  </property>
</Properties>
</file>