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7B240" w14:textId="0059D365" w:rsidR="00374950" w:rsidRPr="00374950" w:rsidRDefault="00374950" w:rsidP="00A21FA7">
      <w:pPr>
        <w:pStyle w:val="Titel"/>
        <w:spacing w:line="276" w:lineRule="auto"/>
        <w:jc w:val="center"/>
        <w:rPr>
          <w:b/>
          <w:bCs/>
          <w:sz w:val="32"/>
          <w:szCs w:val="32"/>
        </w:rPr>
      </w:pPr>
      <w:bookmarkStart w:id="0" w:name="_Hlk205998258"/>
      <w:r w:rsidRPr="00374950">
        <w:rPr>
          <w:b/>
          <w:bCs/>
          <w:sz w:val="32"/>
          <w:szCs w:val="32"/>
        </w:rPr>
        <w:t>Supplementary Material</w:t>
      </w:r>
    </w:p>
    <w:p w14:paraId="7A3B9070" w14:textId="77777777" w:rsidR="00374950" w:rsidRDefault="00374950" w:rsidP="00A21FA7">
      <w:pPr>
        <w:pStyle w:val="Titel"/>
        <w:spacing w:line="276" w:lineRule="auto"/>
        <w:jc w:val="center"/>
        <w:rPr>
          <w:sz w:val="32"/>
          <w:szCs w:val="32"/>
        </w:rPr>
      </w:pPr>
    </w:p>
    <w:p w14:paraId="0A2ABC10" w14:textId="0C1E1C97" w:rsidR="00A21FA7" w:rsidRDefault="00A21FA7" w:rsidP="00A21FA7">
      <w:pPr>
        <w:pStyle w:val="Titel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Shear-Wave Ultrasound Elastography for </w:t>
      </w:r>
      <w:r w:rsidRPr="00D35A1E">
        <w:rPr>
          <w:sz w:val="32"/>
          <w:szCs w:val="32"/>
        </w:rPr>
        <w:t>Tissue-Specific Quantification of Radiation-Induced Cervical Fibrosis</w:t>
      </w:r>
    </w:p>
    <w:p w14:paraId="72AD647A" w14:textId="77777777" w:rsidR="00374950" w:rsidRDefault="00374950" w:rsidP="00374950"/>
    <w:p w14:paraId="3F70FD1B" w14:textId="77777777" w:rsidR="00374950" w:rsidRPr="00374950" w:rsidRDefault="00374950" w:rsidP="00374950"/>
    <w:p w14:paraId="48591456" w14:textId="109F2278" w:rsidR="00374950" w:rsidRPr="00374950" w:rsidRDefault="00374950" w:rsidP="00374950">
      <w:pPr>
        <w:pStyle w:val="Titel"/>
        <w:spacing w:line="276" w:lineRule="auto"/>
        <w:rPr>
          <w:b/>
          <w:bCs/>
          <w:sz w:val="28"/>
          <w:szCs w:val="28"/>
        </w:rPr>
      </w:pPr>
      <w:r w:rsidRPr="00374950">
        <w:rPr>
          <w:b/>
          <w:bCs/>
          <w:sz w:val="28"/>
          <w:szCs w:val="28"/>
        </w:rPr>
        <w:t xml:space="preserve">Supplementary </w:t>
      </w:r>
      <w:r>
        <w:rPr>
          <w:b/>
          <w:bCs/>
          <w:sz w:val="28"/>
          <w:szCs w:val="28"/>
        </w:rPr>
        <w:t>m</w:t>
      </w:r>
      <w:r w:rsidRPr="00374950">
        <w:rPr>
          <w:b/>
          <w:bCs/>
          <w:sz w:val="28"/>
          <w:szCs w:val="28"/>
        </w:rPr>
        <w:t>aterial</w:t>
      </w:r>
      <w:r w:rsidRPr="00374950">
        <w:rPr>
          <w:b/>
          <w:bCs/>
          <w:sz w:val="28"/>
          <w:szCs w:val="28"/>
        </w:rPr>
        <w:t xml:space="preserve"> A</w:t>
      </w:r>
    </w:p>
    <w:p w14:paraId="349EED40" w14:textId="0699FB1B" w:rsidR="00A21FA7" w:rsidRDefault="00A21FA7" w:rsidP="0093371E">
      <w:pPr>
        <w:pStyle w:val="berschrift1"/>
        <w:spacing w:before="9"/>
        <w:ind w:left="139"/>
        <w:rPr>
          <w:rFonts w:ascii="Times New Roman" w:hAnsi="Times New Roman" w:cs="Times New Roman"/>
          <w:color w:val="auto"/>
          <w:w w:val="120"/>
          <w:sz w:val="32"/>
          <w:szCs w:val="32"/>
        </w:rPr>
      </w:pPr>
    </w:p>
    <w:bookmarkEnd w:id="0"/>
    <w:p w14:paraId="1CFA6A89" w14:textId="77777777" w:rsidR="00D54B40" w:rsidRDefault="00D54B40" w:rsidP="00D54B40">
      <w:pPr>
        <w:pStyle w:val="Textkrper"/>
        <w:spacing w:before="120"/>
        <w:ind w:left="0"/>
        <w:rPr>
          <w:b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C57BB2B" wp14:editId="7103E6BD">
            <wp:simplePos x="0" y="0"/>
            <wp:positionH relativeFrom="page">
              <wp:posOffset>2872568</wp:posOffset>
            </wp:positionH>
            <wp:positionV relativeFrom="paragraph">
              <wp:posOffset>238035</wp:posOffset>
            </wp:positionV>
            <wp:extent cx="2132647" cy="2325052"/>
            <wp:effectExtent l="0" t="0" r="0" b="0"/>
            <wp:wrapTopAndBottom/>
            <wp:docPr id="81" name="Image 81" descr="Ein Bild, das Autoteile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Ein Bild, das Autoteile enthält.&#10;&#10;KI-generierte Inhalte können fehlerhaft sein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647" cy="232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5CFD4" w14:textId="17C5E015" w:rsidR="00D54B40" w:rsidRPr="00374950" w:rsidRDefault="00D54B40" w:rsidP="00D54B40">
      <w:pPr>
        <w:spacing w:before="215" w:line="247" w:lineRule="auto"/>
        <w:ind w:left="139" w:right="320"/>
        <w:jc w:val="both"/>
        <w:rPr>
          <w:sz w:val="20"/>
          <w:szCs w:val="20"/>
        </w:rPr>
      </w:pPr>
      <w:r w:rsidRPr="00374950">
        <w:rPr>
          <w:b/>
          <w:w w:val="110"/>
          <w:sz w:val="20"/>
          <w:szCs w:val="20"/>
        </w:rPr>
        <w:t>Fig</w:t>
      </w:r>
      <w:r w:rsidR="00374950" w:rsidRPr="00374950">
        <w:rPr>
          <w:b/>
          <w:w w:val="110"/>
          <w:sz w:val="20"/>
          <w:szCs w:val="20"/>
        </w:rPr>
        <w:t>ure</w:t>
      </w:r>
      <w:r w:rsidRPr="00374950">
        <w:rPr>
          <w:b/>
          <w:spacing w:val="40"/>
          <w:w w:val="110"/>
          <w:sz w:val="20"/>
          <w:szCs w:val="20"/>
        </w:rPr>
        <w:t xml:space="preserve"> </w:t>
      </w:r>
      <w:r w:rsidR="006C09C6" w:rsidRPr="00374950">
        <w:rPr>
          <w:b/>
          <w:w w:val="110"/>
          <w:sz w:val="20"/>
          <w:szCs w:val="20"/>
        </w:rPr>
        <w:t>S</w:t>
      </w:r>
      <w:r w:rsidRPr="00374950">
        <w:rPr>
          <w:b/>
          <w:w w:val="110"/>
          <w:sz w:val="20"/>
          <w:szCs w:val="20"/>
        </w:rPr>
        <w:t>1</w:t>
      </w:r>
      <w:r w:rsidRPr="00374950">
        <w:rPr>
          <w:b/>
          <w:spacing w:val="80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Cervical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Range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of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Motion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Device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(CROM)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1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Compass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goniometer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for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rotation</w:t>
      </w:r>
      <w:r w:rsidRPr="00374950">
        <w:rPr>
          <w:spacing w:val="34"/>
          <w:w w:val="110"/>
          <w:sz w:val="20"/>
          <w:szCs w:val="20"/>
        </w:rPr>
        <w:t xml:space="preserve"> </w:t>
      </w:r>
      <w:r w:rsidRPr="00374950">
        <w:rPr>
          <w:w w:val="110"/>
          <w:sz w:val="20"/>
          <w:szCs w:val="20"/>
        </w:rPr>
        <w:t>measure- ment, 2 Gravity goniometer for flexion and extension measurement, 3 Gravity goniometer for lateral flexion measurement</w:t>
      </w:r>
    </w:p>
    <w:p w14:paraId="1E92CB7D" w14:textId="77777777" w:rsidR="00D54B40" w:rsidRDefault="00D54B40" w:rsidP="00D54B40"/>
    <w:p w14:paraId="00953B3A" w14:textId="77777777" w:rsidR="00D54B40" w:rsidRDefault="00D54B40" w:rsidP="00D54B40"/>
    <w:p w14:paraId="780DD81D" w14:textId="77777777" w:rsidR="00D54B40" w:rsidRDefault="00D54B40" w:rsidP="00D54B40">
      <w:pPr>
        <w:pStyle w:val="Textkrper"/>
        <w:spacing w:before="0"/>
        <w:ind w:left="2955"/>
      </w:pPr>
      <w:r>
        <w:rPr>
          <w:noProof/>
        </w:rPr>
        <w:drawing>
          <wp:inline distT="0" distB="0" distL="0" distR="0" wp14:anchorId="46A43006" wp14:editId="3DB7D2B4">
            <wp:extent cx="1246822" cy="1782889"/>
            <wp:effectExtent l="0" t="0" r="0" b="0"/>
            <wp:docPr id="82" name="Image 82" descr="Ein Bild, das Person, Menschliches Gesicht, Kleidung, Modeaccessoire enthält.&#10;&#10;KI-generierte Inhalte können fehlerhaft sei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Ein Bild, das Person, Menschliches Gesicht, Kleidung, Modeaccessoire enthält.&#10;&#10;KI-generierte Inhalte können fehlerhaft sein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22" cy="17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CBA5" w14:textId="77777777" w:rsidR="00D54B40" w:rsidRPr="00374950" w:rsidRDefault="00D54B40" w:rsidP="00D54B40">
      <w:pPr>
        <w:pStyle w:val="Textkrper"/>
        <w:spacing w:before="5"/>
        <w:ind w:left="0"/>
      </w:pPr>
    </w:p>
    <w:p w14:paraId="261948BE" w14:textId="2B3AAF1C" w:rsidR="00D54B40" w:rsidRPr="00374950" w:rsidRDefault="00D54B40" w:rsidP="00374950">
      <w:pPr>
        <w:spacing w:before="1" w:line="247" w:lineRule="auto"/>
        <w:ind w:right="5"/>
        <w:rPr>
          <w:sz w:val="20"/>
          <w:szCs w:val="20"/>
        </w:rPr>
      </w:pPr>
      <w:r w:rsidRPr="00374950">
        <w:rPr>
          <w:b/>
          <w:w w:val="115"/>
          <w:sz w:val="20"/>
          <w:szCs w:val="20"/>
        </w:rPr>
        <w:t>Fig</w:t>
      </w:r>
      <w:r w:rsidR="00374950" w:rsidRPr="00374950">
        <w:rPr>
          <w:b/>
          <w:w w:val="115"/>
          <w:sz w:val="20"/>
          <w:szCs w:val="20"/>
        </w:rPr>
        <w:t>ure</w:t>
      </w:r>
      <w:r w:rsidRPr="00374950">
        <w:rPr>
          <w:b/>
          <w:spacing w:val="34"/>
          <w:w w:val="115"/>
          <w:sz w:val="20"/>
          <w:szCs w:val="20"/>
        </w:rPr>
        <w:t xml:space="preserve"> </w:t>
      </w:r>
      <w:r w:rsidR="006C09C6" w:rsidRPr="00374950">
        <w:rPr>
          <w:b/>
          <w:w w:val="115"/>
          <w:sz w:val="20"/>
          <w:szCs w:val="20"/>
        </w:rPr>
        <w:t>S</w:t>
      </w:r>
      <w:r w:rsidRPr="00374950">
        <w:rPr>
          <w:b/>
          <w:w w:val="115"/>
          <w:sz w:val="20"/>
          <w:szCs w:val="20"/>
        </w:rPr>
        <w:t>2</w:t>
      </w:r>
      <w:r w:rsidRPr="00374950">
        <w:rPr>
          <w:b/>
          <w:spacing w:val="40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Rotation</w:t>
      </w:r>
      <w:r w:rsidRPr="00374950">
        <w:rPr>
          <w:spacing w:val="24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measurement</w:t>
      </w:r>
      <w:r w:rsidRPr="00374950">
        <w:rPr>
          <w:spacing w:val="24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with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the</w:t>
      </w:r>
      <w:r w:rsidRPr="00374950">
        <w:rPr>
          <w:spacing w:val="24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compass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goniometer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of</w:t>
      </w:r>
      <w:r w:rsidRPr="00374950">
        <w:rPr>
          <w:spacing w:val="24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the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CROM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device.</w:t>
      </w:r>
      <w:r w:rsidRPr="00374950">
        <w:rPr>
          <w:spacing w:val="23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A</w:t>
      </w:r>
      <w:r w:rsidRPr="00374950">
        <w:rPr>
          <w:spacing w:val="24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magnetic yoke stabilizes the compass needle, compensating for the influence of electromagnetic fields.</w:t>
      </w:r>
    </w:p>
    <w:p w14:paraId="330865A9" w14:textId="77777777" w:rsidR="00D54B40" w:rsidRDefault="00D54B40" w:rsidP="00D54B40">
      <w:pPr>
        <w:pStyle w:val="Textkrper"/>
        <w:spacing w:before="0"/>
        <w:ind w:left="0"/>
      </w:pPr>
    </w:p>
    <w:p w14:paraId="6430C68E" w14:textId="77777777" w:rsidR="00D54B40" w:rsidRDefault="00D54B40" w:rsidP="00D54B40">
      <w:pPr>
        <w:pStyle w:val="Textkrper"/>
        <w:spacing w:before="0"/>
        <w:ind w:left="0"/>
      </w:pPr>
    </w:p>
    <w:p w14:paraId="3E3E1E56" w14:textId="77777777" w:rsidR="00D54B40" w:rsidRDefault="00D54B40" w:rsidP="00D54B40">
      <w:pPr>
        <w:widowControl/>
        <w:autoSpaceDE/>
        <w:autoSpaceDN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7AA921AC" wp14:editId="457DB2E7">
            <wp:extent cx="1876425" cy="2710180"/>
            <wp:effectExtent l="0" t="0" r="9525" b="0"/>
            <wp:docPr id="386479191" name="Grafik 43" descr="Ein Bild, das Zeichnung, Clipart, Darstellung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79191" name="Grafik 43" descr="Ein Bild, das Zeichnung, Clipart, Darstellung, Carto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A088" w14:textId="6535EB8B" w:rsidR="00D54B40" w:rsidRPr="00374950" w:rsidRDefault="00D54B40" w:rsidP="00374950">
      <w:pPr>
        <w:spacing w:before="1" w:line="247" w:lineRule="auto"/>
        <w:ind w:right="5"/>
        <w:rPr>
          <w:w w:val="115"/>
          <w:sz w:val="20"/>
          <w:szCs w:val="20"/>
        </w:rPr>
      </w:pPr>
      <w:r w:rsidRPr="00374950">
        <w:rPr>
          <w:b/>
          <w:w w:val="115"/>
          <w:sz w:val="20"/>
          <w:szCs w:val="20"/>
        </w:rPr>
        <w:t>Fig</w:t>
      </w:r>
      <w:r w:rsidR="00374950" w:rsidRPr="00374950">
        <w:rPr>
          <w:b/>
          <w:w w:val="115"/>
          <w:sz w:val="20"/>
          <w:szCs w:val="20"/>
        </w:rPr>
        <w:t>ure</w:t>
      </w:r>
      <w:r w:rsidRPr="00374950">
        <w:rPr>
          <w:b/>
          <w:spacing w:val="34"/>
          <w:w w:val="115"/>
          <w:sz w:val="20"/>
          <w:szCs w:val="20"/>
        </w:rPr>
        <w:t xml:space="preserve"> </w:t>
      </w:r>
      <w:r w:rsidR="006C09C6" w:rsidRPr="00374950">
        <w:rPr>
          <w:b/>
          <w:w w:val="115"/>
          <w:sz w:val="20"/>
          <w:szCs w:val="20"/>
        </w:rPr>
        <w:t>S</w:t>
      </w:r>
      <w:r w:rsidR="00393DA5" w:rsidRPr="00374950">
        <w:rPr>
          <w:b/>
          <w:w w:val="115"/>
          <w:sz w:val="20"/>
          <w:szCs w:val="20"/>
        </w:rPr>
        <w:t>3</w:t>
      </w:r>
      <w:r w:rsidRPr="00374950">
        <w:rPr>
          <w:b/>
          <w:spacing w:val="40"/>
          <w:w w:val="115"/>
          <w:sz w:val="20"/>
          <w:szCs w:val="20"/>
        </w:rPr>
        <w:t xml:space="preserve"> </w:t>
      </w:r>
      <w:r w:rsidRPr="00374950">
        <w:rPr>
          <w:w w:val="115"/>
          <w:sz w:val="20"/>
          <w:szCs w:val="20"/>
        </w:rPr>
        <w:t>Schematic illustration of the positioning of the ultrasound probe along the sternocleidomastoid muscle.</w:t>
      </w:r>
    </w:p>
    <w:p w14:paraId="1BDC3FC4" w14:textId="77777777" w:rsidR="00A21FA7" w:rsidRDefault="00A21FA7" w:rsidP="00D54B40">
      <w:pPr>
        <w:widowControl/>
        <w:autoSpaceDE/>
        <w:autoSpaceDN/>
        <w:spacing w:after="160" w:line="259" w:lineRule="auto"/>
        <w:rPr>
          <w:b/>
        </w:rPr>
      </w:pPr>
    </w:p>
    <w:p w14:paraId="2E35C170" w14:textId="77777777" w:rsidR="00374950" w:rsidRDefault="00374950" w:rsidP="00D54B40">
      <w:pPr>
        <w:widowControl/>
        <w:autoSpaceDE/>
        <w:autoSpaceDN/>
        <w:spacing w:after="160" w:line="259" w:lineRule="auto"/>
        <w:rPr>
          <w:b/>
        </w:rPr>
      </w:pPr>
    </w:p>
    <w:p w14:paraId="05A20833" w14:textId="278D8AFA" w:rsidR="00D54B40" w:rsidRPr="00691DAC" w:rsidRDefault="00D54B40" w:rsidP="00374950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 w:rsidRPr="00691DAC">
        <w:rPr>
          <w:b/>
          <w:sz w:val="24"/>
          <w:szCs w:val="24"/>
        </w:rPr>
        <w:t xml:space="preserve">Power Analysis </w:t>
      </w:r>
      <w:bookmarkStart w:id="1" w:name="_Hlk205993406"/>
      <w:r w:rsidRPr="00691DAC">
        <w:rPr>
          <w:b/>
          <w:sz w:val="24"/>
          <w:szCs w:val="24"/>
        </w:rPr>
        <w:t>(Post-irradiated vs. Controls)</w:t>
      </w:r>
      <w:bookmarkEnd w:id="1"/>
    </w:p>
    <w:p w14:paraId="3421379D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t>Method of Power Analysis</w:t>
      </w:r>
    </w:p>
    <w:p w14:paraId="795F4684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Comparison: Independent groups (post-irradiated patients vs. controls) for each measurement site.</w:t>
      </w:r>
    </w:p>
    <w:p w14:paraId="572136E7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Effect size: Cohen’s d = (M_post − M_control) / SD_pooled, where SD_pooled = sqrt((SD_post² + SD_control²) / 2).</w:t>
      </w:r>
    </w:p>
    <w:p w14:paraId="30442CFC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Test: Two-sided t-test, α = 0.05, 1:1 allocation.</w:t>
      </w:r>
    </w:p>
    <w:p w14:paraId="427E9D0F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Assumed sample size for power estimation: n = 16 per group.</w:t>
      </w:r>
    </w:p>
    <w:p w14:paraId="0E5C164E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Data source: Means and standard deviations provided.</w:t>
      </w:r>
    </w:p>
    <w:p w14:paraId="7DD0573E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</w:p>
    <w:p w14:paraId="3CAFEC78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t>Main Results (n = 16 per group)</w:t>
      </w:r>
    </w:p>
    <w:p w14:paraId="440F96AE" w14:textId="77777777" w:rsidR="00D54B40" w:rsidRPr="00D54B40" w:rsidRDefault="00D54B40" w:rsidP="00374950">
      <w:pPr>
        <w:widowControl/>
        <w:autoSpaceDE/>
        <w:autoSpaceDN/>
        <w:spacing w:after="160"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All measurement sites showed markedly higher stiffness in the post-irradiated group. Absolute differences ranged from +39.6 to +72.8 kPa. Standardized effect sizes were consistently large (d = 1.01–1.35). The corresponding statistical power was high—≥ 0.85 for all but one site (range 0.79–0.96). Reported p-values (&lt;0.001) are consistent with these large effects.</w:t>
      </w:r>
    </w:p>
    <w:p w14:paraId="34917A1D" w14:textId="77777777" w:rsidR="00A21FA7" w:rsidRDefault="00A21FA7">
      <w:pPr>
        <w:widowControl/>
        <w:autoSpaceDE/>
        <w:autoSpaceDN/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251457F2" w14:textId="6B86FC7F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lastRenderedPageBreak/>
        <w:t>Site</w:t>
      </w:r>
      <w:r w:rsidRPr="00D54B40">
        <w:rPr>
          <w:b/>
          <w:bCs/>
          <w:sz w:val="20"/>
          <w:szCs w:val="20"/>
        </w:rPr>
        <w:tab/>
        <w:t>Δ Mean (kPa)</w:t>
      </w:r>
      <w:r w:rsidRPr="00D54B40">
        <w:rPr>
          <w:b/>
          <w:bCs/>
          <w:sz w:val="20"/>
          <w:szCs w:val="20"/>
        </w:rPr>
        <w:tab/>
        <w:t>Cohen’s d</w:t>
      </w:r>
      <w:r w:rsidRPr="00D54B40">
        <w:rPr>
          <w:b/>
          <w:bCs/>
          <w:sz w:val="20"/>
          <w:szCs w:val="20"/>
        </w:rPr>
        <w:tab/>
        <w:t>Power (n=16)</w:t>
      </w:r>
    </w:p>
    <w:p w14:paraId="187EA460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L mid SCM</w:t>
      </w:r>
      <w:r w:rsidRPr="00D54B40">
        <w:rPr>
          <w:bCs/>
          <w:sz w:val="20"/>
          <w:szCs w:val="20"/>
        </w:rPr>
        <w:tab/>
        <w:t>47.7</w:t>
      </w:r>
      <w:r w:rsidRPr="00D54B40">
        <w:rPr>
          <w:bCs/>
          <w:sz w:val="20"/>
          <w:szCs w:val="20"/>
        </w:rPr>
        <w:tab/>
        <w:t>1.15</w:t>
      </w:r>
      <w:r w:rsidRPr="00D54B40">
        <w:rPr>
          <w:bCs/>
          <w:sz w:val="20"/>
          <w:szCs w:val="20"/>
        </w:rPr>
        <w:tab/>
        <w:t>0.88</w:t>
      </w:r>
    </w:p>
    <w:p w14:paraId="4D74B8F6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L low SCM</w:t>
      </w:r>
      <w:r w:rsidRPr="00D54B40">
        <w:rPr>
          <w:bCs/>
          <w:sz w:val="20"/>
          <w:szCs w:val="20"/>
        </w:rPr>
        <w:tab/>
        <w:t>44.3</w:t>
      </w:r>
      <w:r w:rsidRPr="00D54B40">
        <w:rPr>
          <w:bCs/>
          <w:sz w:val="20"/>
          <w:szCs w:val="20"/>
        </w:rPr>
        <w:tab/>
        <w:t>1.35</w:t>
      </w:r>
      <w:r w:rsidRPr="00D54B40">
        <w:rPr>
          <w:bCs/>
          <w:sz w:val="20"/>
          <w:szCs w:val="20"/>
        </w:rPr>
        <w:tab/>
        <w:t>0.96</w:t>
      </w:r>
    </w:p>
    <w:p w14:paraId="11E89727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R mid SCM</w:t>
      </w:r>
      <w:r w:rsidRPr="00D54B40">
        <w:rPr>
          <w:bCs/>
          <w:sz w:val="20"/>
          <w:szCs w:val="20"/>
        </w:rPr>
        <w:tab/>
        <w:t>48.8</w:t>
      </w:r>
      <w:r w:rsidRPr="00D54B40">
        <w:rPr>
          <w:bCs/>
          <w:sz w:val="20"/>
          <w:szCs w:val="20"/>
        </w:rPr>
        <w:tab/>
        <w:t>1.14</w:t>
      </w:r>
      <w:r w:rsidRPr="00D54B40">
        <w:rPr>
          <w:bCs/>
          <w:sz w:val="20"/>
          <w:szCs w:val="20"/>
        </w:rPr>
        <w:tab/>
        <w:t>0.88</w:t>
      </w:r>
    </w:p>
    <w:p w14:paraId="22FB6838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R low SCM</w:t>
      </w:r>
      <w:r w:rsidRPr="00D54B40">
        <w:rPr>
          <w:bCs/>
          <w:sz w:val="20"/>
          <w:szCs w:val="20"/>
        </w:rPr>
        <w:tab/>
        <w:t>56.1</w:t>
      </w:r>
      <w:r w:rsidRPr="00D54B40">
        <w:rPr>
          <w:bCs/>
          <w:sz w:val="20"/>
          <w:szCs w:val="20"/>
        </w:rPr>
        <w:tab/>
        <w:t>1.16</w:t>
      </w:r>
      <w:r w:rsidRPr="00D54B40">
        <w:rPr>
          <w:bCs/>
          <w:sz w:val="20"/>
          <w:szCs w:val="20"/>
        </w:rPr>
        <w:tab/>
        <w:t>0.89</w:t>
      </w:r>
    </w:p>
    <w:p w14:paraId="21D9F6E6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Mean SCM</w:t>
      </w:r>
      <w:r w:rsidRPr="00D54B40">
        <w:rPr>
          <w:bCs/>
          <w:sz w:val="20"/>
          <w:szCs w:val="20"/>
        </w:rPr>
        <w:tab/>
        <w:t>44.7</w:t>
      </w:r>
      <w:r w:rsidRPr="00D54B40">
        <w:rPr>
          <w:bCs/>
          <w:sz w:val="20"/>
          <w:szCs w:val="20"/>
        </w:rPr>
        <w:tab/>
        <w:t>1.33</w:t>
      </w:r>
      <w:r w:rsidRPr="00D54B40">
        <w:rPr>
          <w:bCs/>
          <w:sz w:val="20"/>
          <w:szCs w:val="20"/>
        </w:rPr>
        <w:tab/>
        <w:t>0.95</w:t>
      </w:r>
    </w:p>
    <w:p w14:paraId="41E1A521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L mid superficial fascia</w:t>
      </w:r>
      <w:r w:rsidRPr="00D54B40">
        <w:rPr>
          <w:bCs/>
          <w:sz w:val="20"/>
          <w:szCs w:val="20"/>
        </w:rPr>
        <w:tab/>
        <w:t>39.6</w:t>
      </w:r>
      <w:r w:rsidRPr="00D54B40">
        <w:rPr>
          <w:bCs/>
          <w:sz w:val="20"/>
          <w:szCs w:val="20"/>
        </w:rPr>
        <w:tab/>
        <w:t>1.11</w:t>
      </w:r>
      <w:r w:rsidRPr="00D54B40">
        <w:rPr>
          <w:bCs/>
          <w:sz w:val="20"/>
          <w:szCs w:val="20"/>
        </w:rPr>
        <w:tab/>
        <w:t>0.86</w:t>
      </w:r>
    </w:p>
    <w:p w14:paraId="0888B916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L low superficial fascia</w:t>
      </w:r>
      <w:r w:rsidRPr="00D54B40">
        <w:rPr>
          <w:bCs/>
          <w:sz w:val="20"/>
          <w:szCs w:val="20"/>
        </w:rPr>
        <w:tab/>
        <w:t>51.1</w:t>
      </w:r>
      <w:r w:rsidRPr="00D54B40">
        <w:rPr>
          <w:bCs/>
          <w:sz w:val="20"/>
          <w:szCs w:val="20"/>
        </w:rPr>
        <w:tab/>
        <w:t>1.18</w:t>
      </w:r>
      <w:r w:rsidRPr="00D54B40">
        <w:rPr>
          <w:bCs/>
          <w:sz w:val="20"/>
          <w:szCs w:val="20"/>
        </w:rPr>
        <w:tab/>
        <w:t>0.90</w:t>
      </w:r>
    </w:p>
    <w:p w14:paraId="00312928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R mid superficial fascia</w:t>
      </w:r>
      <w:r w:rsidRPr="00D54B40">
        <w:rPr>
          <w:bCs/>
          <w:sz w:val="20"/>
          <w:szCs w:val="20"/>
        </w:rPr>
        <w:tab/>
        <w:t>42.9</w:t>
      </w:r>
      <w:r w:rsidRPr="00D54B40">
        <w:rPr>
          <w:bCs/>
          <w:sz w:val="20"/>
          <w:szCs w:val="20"/>
        </w:rPr>
        <w:tab/>
        <w:t>1.01</w:t>
      </w:r>
      <w:r w:rsidRPr="00D54B40">
        <w:rPr>
          <w:bCs/>
          <w:sz w:val="20"/>
          <w:szCs w:val="20"/>
        </w:rPr>
        <w:tab/>
        <w:t>0.79</w:t>
      </w:r>
    </w:p>
    <w:p w14:paraId="7904A4CA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R low superficial fascia</w:t>
      </w:r>
      <w:r w:rsidRPr="00D54B40">
        <w:rPr>
          <w:bCs/>
          <w:sz w:val="20"/>
          <w:szCs w:val="20"/>
        </w:rPr>
        <w:tab/>
        <w:t>72.8</w:t>
      </w:r>
      <w:r w:rsidRPr="00D54B40">
        <w:rPr>
          <w:bCs/>
          <w:sz w:val="20"/>
          <w:szCs w:val="20"/>
        </w:rPr>
        <w:tab/>
        <w:t>1.09</w:t>
      </w:r>
      <w:r w:rsidRPr="00D54B40">
        <w:rPr>
          <w:bCs/>
          <w:sz w:val="20"/>
          <w:szCs w:val="20"/>
        </w:rPr>
        <w:tab/>
        <w:t>0.85</w:t>
      </w:r>
    </w:p>
    <w:p w14:paraId="4232E19B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Mean superficial fascia</w:t>
      </w:r>
      <w:r w:rsidRPr="00D54B40">
        <w:rPr>
          <w:bCs/>
          <w:sz w:val="20"/>
          <w:szCs w:val="20"/>
        </w:rPr>
        <w:tab/>
        <w:t>48.6</w:t>
      </w:r>
      <w:r w:rsidRPr="00D54B40">
        <w:rPr>
          <w:bCs/>
          <w:sz w:val="20"/>
          <w:szCs w:val="20"/>
        </w:rPr>
        <w:tab/>
        <w:t>1.28</w:t>
      </w:r>
      <w:r w:rsidRPr="00D54B40">
        <w:rPr>
          <w:bCs/>
          <w:sz w:val="20"/>
          <w:szCs w:val="20"/>
        </w:rPr>
        <w:tab/>
        <w:t>0.94</w:t>
      </w:r>
    </w:p>
    <w:p w14:paraId="3505C1B7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</w:p>
    <w:p w14:paraId="38E54B1E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t>Highlights</w:t>
      </w:r>
    </w:p>
    <w:p w14:paraId="4F7F9C3C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Largest standardized effect: L low SCM (d = 1.35; Power 0.96)</w:t>
      </w:r>
    </w:p>
    <w:p w14:paraId="6D997792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Largest absolute difference: R low superficial fascia (+72.8 kPa; d = 1.09; Power 0.85)</w:t>
      </w:r>
    </w:p>
    <w:p w14:paraId="338D0AB6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Compartment means: Mean SCM d = 1.33 (Power 0.95), Mean superficial fascia d = 1.28 (Power 0.94)</w:t>
      </w:r>
    </w:p>
    <w:p w14:paraId="44E0A688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Only one site fell slightly below the conventional 0.80 threshold for adequate power: R mid superficial fascia (Power 0.79)</w:t>
      </w:r>
    </w:p>
    <w:p w14:paraId="04DC54EA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Cs/>
          <w:sz w:val="20"/>
          <w:szCs w:val="20"/>
        </w:rPr>
      </w:pPr>
    </w:p>
    <w:p w14:paraId="2F9E5341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t>Sample Size Planning (Future Studies)</w:t>
      </w:r>
    </w:p>
    <w:p w14:paraId="67ECC33F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Required n per group for 80% power (α = 0.05, two-sided), based on observed d-values:</w:t>
      </w:r>
    </w:p>
    <w:p w14:paraId="010B318A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10–11 per group are sufficient for Mean SCM (d = 1.33) and Mean superficial fascia (d = 1.28)</w:t>
      </w:r>
    </w:p>
    <w:p w14:paraId="257832F5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10–15 per group for most individual sites (e.g., L mid SCM 13; R low superficial fascia 15)</w:t>
      </w:r>
    </w:p>
    <w:p w14:paraId="0F47A0D9" w14:textId="77777777" w:rsidR="00D54B40" w:rsidRPr="00D54B40" w:rsidRDefault="00D54B40" w:rsidP="00374950">
      <w:pPr>
        <w:widowControl/>
        <w:autoSpaceDE/>
        <w:autoSpaceDN/>
        <w:spacing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• Up to 17 per group if aiming to detect the smallest observed effect (R mid superficial fascia, d = 1.01) with ≥0.80 power individually</w:t>
      </w:r>
    </w:p>
    <w:p w14:paraId="49F25A85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</w:p>
    <w:p w14:paraId="71876C8E" w14:textId="77777777" w:rsidR="00D54B40" w:rsidRPr="00D54B40" w:rsidRDefault="00D54B40" w:rsidP="00D54B40">
      <w:pPr>
        <w:widowControl/>
        <w:autoSpaceDE/>
        <w:autoSpaceDN/>
        <w:spacing w:after="160" w:line="276" w:lineRule="auto"/>
        <w:rPr>
          <w:b/>
          <w:bCs/>
          <w:sz w:val="20"/>
          <w:szCs w:val="20"/>
        </w:rPr>
      </w:pPr>
      <w:r w:rsidRPr="00D54B40">
        <w:rPr>
          <w:b/>
          <w:bCs/>
          <w:sz w:val="20"/>
          <w:szCs w:val="20"/>
        </w:rPr>
        <w:t>Interpretation</w:t>
      </w:r>
    </w:p>
    <w:p w14:paraId="3B4D7B57" w14:textId="13B23E4C" w:rsidR="00D54B40" w:rsidRPr="00D54B40" w:rsidRDefault="00D54B40" w:rsidP="00374950">
      <w:pPr>
        <w:widowControl/>
        <w:autoSpaceDE/>
        <w:autoSpaceDN/>
        <w:spacing w:after="160"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The post-irradiated group exhibited markedly increased tissue stiffness of both the sternocleidomastoid (SCM) and the superficial fascia compared to controls. The large effect sizes indicate clinically relevant differences, and with n = 16 per group, statistical power was high for almost all sites. For future studies, n ≈ 12–15 per group will generally be sufficient; only the weakest effect would require ≈ 17 per group for robust detection.</w:t>
      </w:r>
    </w:p>
    <w:p w14:paraId="26818C74" w14:textId="77777777" w:rsidR="00D54B40" w:rsidRPr="00D54B40" w:rsidRDefault="00D54B40" w:rsidP="00374950">
      <w:pPr>
        <w:widowControl/>
        <w:autoSpaceDE/>
        <w:autoSpaceDN/>
        <w:spacing w:after="160" w:line="360" w:lineRule="auto"/>
        <w:rPr>
          <w:bCs/>
          <w:sz w:val="20"/>
          <w:szCs w:val="20"/>
        </w:rPr>
      </w:pPr>
      <w:r w:rsidRPr="00D54B40">
        <w:rPr>
          <w:bCs/>
          <w:sz w:val="20"/>
          <w:szCs w:val="20"/>
        </w:rPr>
        <w:t>Note: This power analysis is based on group means/SDs and the assumption of independent samples with a two-sided t-test. If variances differ substantially or distributions deviate from normality, robust or transformed analyses should be considered in addition.</w:t>
      </w:r>
    </w:p>
    <w:p w14:paraId="6D9C05BE" w14:textId="77777777" w:rsidR="00D54B40" w:rsidRDefault="00D54B40" w:rsidP="00172E2F">
      <w:pPr>
        <w:spacing w:before="3" w:line="247" w:lineRule="auto"/>
        <w:ind w:right="5"/>
        <w:rPr>
          <w:b/>
          <w:bCs/>
          <w:sz w:val="16"/>
        </w:rPr>
      </w:pPr>
    </w:p>
    <w:sectPr w:rsidR="00D54B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25C02" w14:textId="77777777" w:rsidR="00D452E6" w:rsidRDefault="00D452E6" w:rsidP="00A21FA7">
      <w:r>
        <w:separator/>
      </w:r>
    </w:p>
  </w:endnote>
  <w:endnote w:type="continuationSeparator" w:id="0">
    <w:p w14:paraId="4C1C86D4" w14:textId="77777777" w:rsidR="00D452E6" w:rsidRDefault="00D452E6" w:rsidP="00A21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E06DD" w14:textId="77777777" w:rsidR="00A21FA7" w:rsidRDefault="00A21FA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671840"/>
      <w:docPartObj>
        <w:docPartGallery w:val="Page Numbers (Bottom of Page)"/>
        <w:docPartUnique/>
      </w:docPartObj>
    </w:sdtPr>
    <w:sdtContent>
      <w:p w14:paraId="7504D2E0" w14:textId="027D8D7B" w:rsidR="00A21FA7" w:rsidRDefault="00A21FA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1704323A" w14:textId="77777777" w:rsidR="00A21FA7" w:rsidRDefault="00A21FA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415CA" w14:textId="77777777" w:rsidR="00A21FA7" w:rsidRDefault="00A21F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E04FD" w14:textId="77777777" w:rsidR="00D452E6" w:rsidRDefault="00D452E6" w:rsidP="00A21FA7">
      <w:r>
        <w:separator/>
      </w:r>
    </w:p>
  </w:footnote>
  <w:footnote w:type="continuationSeparator" w:id="0">
    <w:p w14:paraId="1E6F3515" w14:textId="77777777" w:rsidR="00D452E6" w:rsidRDefault="00D452E6" w:rsidP="00A21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224DB" w14:textId="77777777" w:rsidR="00A21FA7" w:rsidRDefault="00A21FA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B3726" w14:textId="77777777" w:rsidR="00A21FA7" w:rsidRDefault="00A21FA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EAD32" w14:textId="77777777" w:rsidR="00A21FA7" w:rsidRDefault="00A21FA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3C30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77827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802"/>
    <w:rsid w:val="000149B4"/>
    <w:rsid w:val="000656BA"/>
    <w:rsid w:val="000A21BD"/>
    <w:rsid w:val="00114CEA"/>
    <w:rsid w:val="0011732E"/>
    <w:rsid w:val="00172E2F"/>
    <w:rsid w:val="00193BD9"/>
    <w:rsid w:val="002A3A9A"/>
    <w:rsid w:val="00374950"/>
    <w:rsid w:val="00391E4A"/>
    <w:rsid w:val="00393DA5"/>
    <w:rsid w:val="003A6AC5"/>
    <w:rsid w:val="00466C7C"/>
    <w:rsid w:val="00691DAC"/>
    <w:rsid w:val="00696E28"/>
    <w:rsid w:val="006C09C6"/>
    <w:rsid w:val="006C1183"/>
    <w:rsid w:val="007B1B54"/>
    <w:rsid w:val="00824DD2"/>
    <w:rsid w:val="00842B3E"/>
    <w:rsid w:val="0093371E"/>
    <w:rsid w:val="00963F15"/>
    <w:rsid w:val="00A00D0A"/>
    <w:rsid w:val="00A21FA7"/>
    <w:rsid w:val="00A87F8C"/>
    <w:rsid w:val="00B5731B"/>
    <w:rsid w:val="00B90802"/>
    <w:rsid w:val="00BE660F"/>
    <w:rsid w:val="00C2048A"/>
    <w:rsid w:val="00C51B96"/>
    <w:rsid w:val="00D452E6"/>
    <w:rsid w:val="00D46D20"/>
    <w:rsid w:val="00D54B40"/>
    <w:rsid w:val="00D61F49"/>
    <w:rsid w:val="00E931A9"/>
    <w:rsid w:val="00F30FF2"/>
    <w:rsid w:val="00F54CD0"/>
    <w:rsid w:val="00F77EA1"/>
    <w:rsid w:val="00FE63C1"/>
    <w:rsid w:val="00FF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B088C"/>
  <w15:chartTrackingRefBased/>
  <w15:docId w15:val="{2FD32A62-10AE-4E48-A692-C0A51981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4B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90802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0802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0802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0802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080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9080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90802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080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0802"/>
    <w:rPr>
      <w:rFonts w:eastAsiaTheme="majorEastAsia" w:cstheme="majorBidi"/>
      <w:color w:val="0F4761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080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0802"/>
    <w:rPr>
      <w:rFonts w:eastAsiaTheme="majorEastAsia" w:cstheme="majorBidi"/>
      <w:color w:val="595959" w:themeColor="text1" w:themeTint="A6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080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0802"/>
    <w:rPr>
      <w:rFonts w:eastAsiaTheme="majorEastAsia" w:cstheme="majorBidi"/>
      <w:color w:val="272727" w:themeColor="text1" w:themeTint="D8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B90802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B9080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90802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90802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B90802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B90802"/>
    <w:rPr>
      <w:i/>
      <w:iCs/>
      <w:color w:val="404040" w:themeColor="text1" w:themeTint="BF"/>
      <w:lang w:val="en-US"/>
    </w:rPr>
  </w:style>
  <w:style w:type="paragraph" w:styleId="Listenabsatz">
    <w:name w:val="List Paragraph"/>
    <w:basedOn w:val="Standard"/>
    <w:uiPriority w:val="34"/>
    <w:qFormat/>
    <w:rsid w:val="00B90802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B9080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90802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90802"/>
    <w:rPr>
      <w:i/>
      <w:iCs/>
      <w:color w:val="0F4761" w:themeColor="accent1" w:themeShade="BF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B90802"/>
    <w:rPr>
      <w:b/>
      <w:bCs/>
      <w:smallCaps/>
      <w:color w:val="0F4761" w:themeColor="accent1" w:themeShade="BF"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D54B40"/>
    <w:pPr>
      <w:spacing w:before="10"/>
      <w:ind w:left="333"/>
    </w:pPr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D54B40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D54B4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D54B40"/>
    <w:pPr>
      <w:spacing w:line="169" w:lineRule="exact"/>
      <w:jc w:val="center"/>
    </w:pPr>
  </w:style>
  <w:style w:type="paragraph" w:styleId="Kopfzeile">
    <w:name w:val="header"/>
    <w:basedOn w:val="Standard"/>
    <w:link w:val="KopfzeileZchn"/>
    <w:uiPriority w:val="99"/>
    <w:unhideWhenUsed/>
    <w:rsid w:val="00A21F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21FA7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21F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1FA7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2985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Dapper</dc:creator>
  <cp:keywords/>
  <dc:description/>
  <cp:lastModifiedBy>Hendrik Dapper</cp:lastModifiedBy>
  <cp:revision>15</cp:revision>
  <dcterms:created xsi:type="dcterms:W3CDTF">2025-08-13T13:51:00Z</dcterms:created>
  <dcterms:modified xsi:type="dcterms:W3CDTF">2026-05-19T09:39:00Z</dcterms:modified>
</cp:coreProperties>
</file>