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7B240" w14:textId="0059D365" w:rsidR="00374950" w:rsidRPr="00374950" w:rsidRDefault="00374950" w:rsidP="00A21FA7">
      <w:pPr>
        <w:pStyle w:val="Titel"/>
        <w:spacing w:line="276" w:lineRule="auto"/>
        <w:jc w:val="center"/>
        <w:rPr>
          <w:b/>
          <w:bCs/>
          <w:sz w:val="32"/>
          <w:szCs w:val="32"/>
        </w:rPr>
      </w:pPr>
      <w:bookmarkStart w:id="0" w:name="_Hlk205998258"/>
      <w:r w:rsidRPr="00374950">
        <w:rPr>
          <w:b/>
          <w:bCs/>
          <w:sz w:val="32"/>
          <w:szCs w:val="32"/>
        </w:rPr>
        <w:t>Supplementary Material</w:t>
      </w:r>
    </w:p>
    <w:p w14:paraId="7A3B9070" w14:textId="77777777" w:rsidR="00374950" w:rsidRDefault="00374950" w:rsidP="00A21FA7">
      <w:pPr>
        <w:pStyle w:val="Titel"/>
        <w:spacing w:line="276" w:lineRule="auto"/>
        <w:jc w:val="center"/>
        <w:rPr>
          <w:sz w:val="32"/>
          <w:szCs w:val="32"/>
        </w:rPr>
      </w:pPr>
    </w:p>
    <w:p w14:paraId="0A2ABC10" w14:textId="0C1E1C97" w:rsidR="00A21FA7" w:rsidRDefault="00A21FA7" w:rsidP="00A21FA7">
      <w:pPr>
        <w:pStyle w:val="Titel"/>
        <w:spacing w:line="276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Shear-Wave Ultrasound Elastography for </w:t>
      </w:r>
      <w:r w:rsidRPr="00D35A1E">
        <w:rPr>
          <w:sz w:val="32"/>
          <w:szCs w:val="32"/>
        </w:rPr>
        <w:t>Tissue-Specific Quantification of Radiation-Induced Cervical Fibrosis</w:t>
      </w:r>
    </w:p>
    <w:p w14:paraId="72AD647A" w14:textId="77777777" w:rsidR="00374950" w:rsidRDefault="00374950" w:rsidP="00374950"/>
    <w:p w14:paraId="3F70FD1B" w14:textId="77777777" w:rsidR="00374950" w:rsidRPr="00374950" w:rsidRDefault="00374950" w:rsidP="00374950"/>
    <w:p w14:paraId="48591456" w14:textId="109F2278" w:rsidR="00374950" w:rsidRPr="00374950" w:rsidRDefault="00374950" w:rsidP="00374950">
      <w:pPr>
        <w:pStyle w:val="Titel"/>
        <w:spacing w:line="276" w:lineRule="auto"/>
        <w:rPr>
          <w:b/>
          <w:bCs/>
          <w:sz w:val="28"/>
          <w:szCs w:val="28"/>
        </w:rPr>
      </w:pPr>
      <w:r w:rsidRPr="00374950">
        <w:rPr>
          <w:b/>
          <w:bCs/>
          <w:sz w:val="28"/>
          <w:szCs w:val="28"/>
        </w:rPr>
        <w:t xml:space="preserve">Supplementary </w:t>
      </w:r>
      <w:r>
        <w:rPr>
          <w:b/>
          <w:bCs/>
          <w:sz w:val="28"/>
          <w:szCs w:val="28"/>
        </w:rPr>
        <w:t>m</w:t>
      </w:r>
      <w:r w:rsidRPr="00374950">
        <w:rPr>
          <w:b/>
          <w:bCs/>
          <w:sz w:val="28"/>
          <w:szCs w:val="28"/>
        </w:rPr>
        <w:t>aterial</w:t>
      </w:r>
      <w:r w:rsidRPr="00374950">
        <w:rPr>
          <w:b/>
          <w:bCs/>
          <w:sz w:val="28"/>
          <w:szCs w:val="28"/>
        </w:rPr>
        <w:t xml:space="preserve"> A</w:t>
      </w:r>
    </w:p>
    <w:p w14:paraId="349EED40" w14:textId="0699FB1B" w:rsidR="00A21FA7" w:rsidRDefault="00A21FA7" w:rsidP="0093371E">
      <w:pPr>
        <w:pStyle w:val="berschrift1"/>
        <w:spacing w:before="9"/>
        <w:ind w:left="139"/>
        <w:rPr>
          <w:rFonts w:ascii="Times New Roman" w:hAnsi="Times New Roman" w:cs="Times New Roman"/>
          <w:color w:val="auto"/>
          <w:w w:val="120"/>
          <w:sz w:val="32"/>
          <w:szCs w:val="32"/>
        </w:rPr>
      </w:pPr>
    </w:p>
    <w:bookmarkEnd w:id="0"/>
    <w:p w14:paraId="1CFA6A89" w14:textId="77777777" w:rsidR="00D54B40" w:rsidRDefault="00D54B40" w:rsidP="00D54B40">
      <w:pPr>
        <w:pStyle w:val="Textkrper"/>
        <w:spacing w:before="120"/>
        <w:ind w:left="0"/>
        <w:rPr>
          <w:b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0C57BB2B" wp14:editId="7103E6BD">
            <wp:simplePos x="0" y="0"/>
            <wp:positionH relativeFrom="page">
              <wp:posOffset>2872568</wp:posOffset>
            </wp:positionH>
            <wp:positionV relativeFrom="paragraph">
              <wp:posOffset>238035</wp:posOffset>
            </wp:positionV>
            <wp:extent cx="2132647" cy="2325052"/>
            <wp:effectExtent l="0" t="0" r="0" b="0"/>
            <wp:wrapTopAndBottom/>
            <wp:docPr id="81" name="Image 81" descr="Ein Bild, das Autoteile enthält.&#10;&#10;KI-generierte Inhalte können fehlerhaft sein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 descr="Ein Bild, das Autoteile enthält.&#10;&#10;KI-generierte Inhalte können fehlerhaft sein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2647" cy="2325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D5CFD4" w14:textId="17C5E015" w:rsidR="00D54B40" w:rsidRPr="00374950" w:rsidRDefault="00D54B40" w:rsidP="00D54B40">
      <w:pPr>
        <w:spacing w:before="215" w:line="247" w:lineRule="auto"/>
        <w:ind w:left="139" w:right="320"/>
        <w:jc w:val="both"/>
        <w:rPr>
          <w:sz w:val="20"/>
          <w:szCs w:val="20"/>
        </w:rPr>
      </w:pPr>
      <w:r w:rsidRPr="00374950">
        <w:rPr>
          <w:b/>
          <w:w w:val="110"/>
          <w:sz w:val="20"/>
          <w:szCs w:val="20"/>
        </w:rPr>
        <w:t>Fig</w:t>
      </w:r>
      <w:r w:rsidR="00374950" w:rsidRPr="00374950">
        <w:rPr>
          <w:b/>
          <w:w w:val="110"/>
          <w:sz w:val="20"/>
          <w:szCs w:val="20"/>
        </w:rPr>
        <w:t>ure</w:t>
      </w:r>
      <w:r w:rsidRPr="00374950">
        <w:rPr>
          <w:b/>
          <w:spacing w:val="40"/>
          <w:w w:val="110"/>
          <w:sz w:val="20"/>
          <w:szCs w:val="20"/>
        </w:rPr>
        <w:t xml:space="preserve"> </w:t>
      </w:r>
      <w:r w:rsidR="006C09C6" w:rsidRPr="00374950">
        <w:rPr>
          <w:b/>
          <w:w w:val="110"/>
          <w:sz w:val="20"/>
          <w:szCs w:val="20"/>
        </w:rPr>
        <w:t>S</w:t>
      </w:r>
      <w:r w:rsidRPr="00374950">
        <w:rPr>
          <w:b/>
          <w:w w:val="110"/>
          <w:sz w:val="20"/>
          <w:szCs w:val="20"/>
        </w:rPr>
        <w:t>1</w:t>
      </w:r>
      <w:r w:rsidRPr="00374950">
        <w:rPr>
          <w:b/>
          <w:spacing w:val="80"/>
          <w:w w:val="110"/>
          <w:sz w:val="20"/>
          <w:szCs w:val="20"/>
        </w:rPr>
        <w:t xml:space="preserve"> </w:t>
      </w:r>
      <w:r w:rsidRPr="00374950">
        <w:rPr>
          <w:w w:val="110"/>
          <w:sz w:val="20"/>
          <w:szCs w:val="20"/>
        </w:rPr>
        <w:t>Cervical</w:t>
      </w:r>
      <w:r w:rsidRPr="00374950">
        <w:rPr>
          <w:spacing w:val="34"/>
          <w:w w:val="110"/>
          <w:sz w:val="20"/>
          <w:szCs w:val="20"/>
        </w:rPr>
        <w:t xml:space="preserve"> </w:t>
      </w:r>
      <w:r w:rsidRPr="00374950">
        <w:rPr>
          <w:w w:val="110"/>
          <w:sz w:val="20"/>
          <w:szCs w:val="20"/>
        </w:rPr>
        <w:t>Range</w:t>
      </w:r>
      <w:r w:rsidRPr="00374950">
        <w:rPr>
          <w:spacing w:val="34"/>
          <w:w w:val="110"/>
          <w:sz w:val="20"/>
          <w:szCs w:val="20"/>
        </w:rPr>
        <w:t xml:space="preserve"> </w:t>
      </w:r>
      <w:r w:rsidRPr="00374950">
        <w:rPr>
          <w:w w:val="110"/>
          <w:sz w:val="20"/>
          <w:szCs w:val="20"/>
        </w:rPr>
        <w:t>of</w:t>
      </w:r>
      <w:r w:rsidRPr="00374950">
        <w:rPr>
          <w:spacing w:val="34"/>
          <w:w w:val="110"/>
          <w:sz w:val="20"/>
          <w:szCs w:val="20"/>
        </w:rPr>
        <w:t xml:space="preserve"> </w:t>
      </w:r>
      <w:r w:rsidRPr="00374950">
        <w:rPr>
          <w:w w:val="110"/>
          <w:sz w:val="20"/>
          <w:szCs w:val="20"/>
        </w:rPr>
        <w:t>Motion</w:t>
      </w:r>
      <w:r w:rsidRPr="00374950">
        <w:rPr>
          <w:spacing w:val="34"/>
          <w:w w:val="110"/>
          <w:sz w:val="20"/>
          <w:szCs w:val="20"/>
        </w:rPr>
        <w:t xml:space="preserve"> </w:t>
      </w:r>
      <w:r w:rsidRPr="00374950">
        <w:rPr>
          <w:w w:val="110"/>
          <w:sz w:val="20"/>
          <w:szCs w:val="20"/>
        </w:rPr>
        <w:t>Device</w:t>
      </w:r>
      <w:r w:rsidRPr="00374950">
        <w:rPr>
          <w:spacing w:val="34"/>
          <w:w w:val="110"/>
          <w:sz w:val="20"/>
          <w:szCs w:val="20"/>
        </w:rPr>
        <w:t xml:space="preserve"> </w:t>
      </w:r>
      <w:r w:rsidRPr="00374950">
        <w:rPr>
          <w:w w:val="110"/>
          <w:sz w:val="20"/>
          <w:szCs w:val="20"/>
        </w:rPr>
        <w:t>(CROM)</w:t>
      </w:r>
      <w:r w:rsidRPr="00374950">
        <w:rPr>
          <w:spacing w:val="34"/>
          <w:w w:val="110"/>
          <w:sz w:val="20"/>
          <w:szCs w:val="20"/>
        </w:rPr>
        <w:t xml:space="preserve"> </w:t>
      </w:r>
      <w:r w:rsidRPr="00374950">
        <w:rPr>
          <w:w w:val="110"/>
          <w:sz w:val="20"/>
          <w:szCs w:val="20"/>
        </w:rPr>
        <w:t>1</w:t>
      </w:r>
      <w:r w:rsidRPr="00374950">
        <w:rPr>
          <w:spacing w:val="34"/>
          <w:w w:val="110"/>
          <w:sz w:val="20"/>
          <w:szCs w:val="20"/>
        </w:rPr>
        <w:t xml:space="preserve"> </w:t>
      </w:r>
      <w:r w:rsidRPr="00374950">
        <w:rPr>
          <w:w w:val="110"/>
          <w:sz w:val="20"/>
          <w:szCs w:val="20"/>
        </w:rPr>
        <w:t>Compass</w:t>
      </w:r>
      <w:r w:rsidRPr="00374950">
        <w:rPr>
          <w:spacing w:val="34"/>
          <w:w w:val="110"/>
          <w:sz w:val="20"/>
          <w:szCs w:val="20"/>
        </w:rPr>
        <w:t xml:space="preserve"> </w:t>
      </w:r>
      <w:r w:rsidRPr="00374950">
        <w:rPr>
          <w:w w:val="110"/>
          <w:sz w:val="20"/>
          <w:szCs w:val="20"/>
        </w:rPr>
        <w:t>goniometer</w:t>
      </w:r>
      <w:r w:rsidRPr="00374950">
        <w:rPr>
          <w:spacing w:val="34"/>
          <w:w w:val="110"/>
          <w:sz w:val="20"/>
          <w:szCs w:val="20"/>
        </w:rPr>
        <w:t xml:space="preserve"> </w:t>
      </w:r>
      <w:r w:rsidRPr="00374950">
        <w:rPr>
          <w:w w:val="110"/>
          <w:sz w:val="20"/>
          <w:szCs w:val="20"/>
        </w:rPr>
        <w:t>for</w:t>
      </w:r>
      <w:r w:rsidRPr="00374950">
        <w:rPr>
          <w:spacing w:val="34"/>
          <w:w w:val="110"/>
          <w:sz w:val="20"/>
          <w:szCs w:val="20"/>
        </w:rPr>
        <w:t xml:space="preserve"> </w:t>
      </w:r>
      <w:r w:rsidRPr="00374950">
        <w:rPr>
          <w:w w:val="110"/>
          <w:sz w:val="20"/>
          <w:szCs w:val="20"/>
        </w:rPr>
        <w:t>rotation</w:t>
      </w:r>
      <w:r w:rsidRPr="00374950">
        <w:rPr>
          <w:spacing w:val="34"/>
          <w:w w:val="110"/>
          <w:sz w:val="20"/>
          <w:szCs w:val="20"/>
        </w:rPr>
        <w:t xml:space="preserve"> </w:t>
      </w:r>
      <w:r w:rsidRPr="00374950">
        <w:rPr>
          <w:w w:val="110"/>
          <w:sz w:val="20"/>
          <w:szCs w:val="20"/>
        </w:rPr>
        <w:t>measure- ment, 2 Gravity goniometer for flexion and extension measurement, 3 Gravity goniometer for lateral flexion measurement</w:t>
      </w:r>
    </w:p>
    <w:p w14:paraId="1E92CB7D" w14:textId="77777777" w:rsidR="00D54B40" w:rsidRDefault="00D54B40" w:rsidP="00D54B40"/>
    <w:p w14:paraId="00953B3A" w14:textId="77777777" w:rsidR="00D54B40" w:rsidRDefault="00D54B40" w:rsidP="00D54B40"/>
    <w:p w14:paraId="780DD81D" w14:textId="77777777" w:rsidR="00D54B40" w:rsidRDefault="00D54B40" w:rsidP="00D54B40">
      <w:pPr>
        <w:pStyle w:val="Textkrper"/>
        <w:spacing w:before="0"/>
        <w:ind w:left="2955"/>
      </w:pPr>
      <w:r>
        <w:rPr>
          <w:noProof/>
        </w:rPr>
        <w:drawing>
          <wp:inline distT="0" distB="0" distL="0" distR="0" wp14:anchorId="46A43006" wp14:editId="3DB7D2B4">
            <wp:extent cx="1246822" cy="1782889"/>
            <wp:effectExtent l="0" t="0" r="0" b="0"/>
            <wp:docPr id="82" name="Image 82" descr="Ein Bild, das Person, Menschliches Gesicht, Kleidung, Modeaccessoire enthält.&#10;&#10;KI-generierte Inhalte können fehlerhaft sein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 descr="Ein Bild, das Person, Menschliches Gesicht, Kleidung, Modeaccessoire enthält.&#10;&#10;KI-generierte Inhalte können fehlerhaft sein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6822" cy="1782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8CBA5" w14:textId="77777777" w:rsidR="00D54B40" w:rsidRPr="00374950" w:rsidRDefault="00D54B40" w:rsidP="00D54B40">
      <w:pPr>
        <w:pStyle w:val="Textkrper"/>
        <w:spacing w:before="5"/>
        <w:ind w:left="0"/>
      </w:pPr>
    </w:p>
    <w:p w14:paraId="261948BE" w14:textId="2B3AAF1C" w:rsidR="00D54B40" w:rsidRPr="00374950" w:rsidRDefault="00D54B40" w:rsidP="00374950">
      <w:pPr>
        <w:spacing w:before="1" w:line="247" w:lineRule="auto"/>
        <w:ind w:right="5"/>
        <w:rPr>
          <w:sz w:val="20"/>
          <w:szCs w:val="20"/>
        </w:rPr>
      </w:pPr>
      <w:r w:rsidRPr="00374950">
        <w:rPr>
          <w:b/>
          <w:w w:val="115"/>
          <w:sz w:val="20"/>
          <w:szCs w:val="20"/>
        </w:rPr>
        <w:t>Fig</w:t>
      </w:r>
      <w:r w:rsidR="00374950" w:rsidRPr="00374950">
        <w:rPr>
          <w:b/>
          <w:w w:val="115"/>
          <w:sz w:val="20"/>
          <w:szCs w:val="20"/>
        </w:rPr>
        <w:t>ure</w:t>
      </w:r>
      <w:r w:rsidRPr="00374950">
        <w:rPr>
          <w:b/>
          <w:spacing w:val="34"/>
          <w:w w:val="115"/>
          <w:sz w:val="20"/>
          <w:szCs w:val="20"/>
        </w:rPr>
        <w:t xml:space="preserve"> </w:t>
      </w:r>
      <w:r w:rsidR="006C09C6" w:rsidRPr="00374950">
        <w:rPr>
          <w:b/>
          <w:w w:val="115"/>
          <w:sz w:val="20"/>
          <w:szCs w:val="20"/>
        </w:rPr>
        <w:t>S</w:t>
      </w:r>
      <w:r w:rsidRPr="00374950">
        <w:rPr>
          <w:b/>
          <w:w w:val="115"/>
          <w:sz w:val="20"/>
          <w:szCs w:val="20"/>
        </w:rPr>
        <w:t>2</w:t>
      </w:r>
      <w:r w:rsidRPr="00374950">
        <w:rPr>
          <w:b/>
          <w:spacing w:val="40"/>
          <w:w w:val="115"/>
          <w:sz w:val="20"/>
          <w:szCs w:val="20"/>
        </w:rPr>
        <w:t xml:space="preserve"> </w:t>
      </w:r>
      <w:r w:rsidRPr="00374950">
        <w:rPr>
          <w:w w:val="115"/>
          <w:sz w:val="20"/>
          <w:szCs w:val="20"/>
        </w:rPr>
        <w:t>Rotation</w:t>
      </w:r>
      <w:r w:rsidRPr="00374950">
        <w:rPr>
          <w:spacing w:val="24"/>
          <w:w w:val="115"/>
          <w:sz w:val="20"/>
          <w:szCs w:val="20"/>
        </w:rPr>
        <w:t xml:space="preserve"> </w:t>
      </w:r>
      <w:r w:rsidRPr="00374950">
        <w:rPr>
          <w:w w:val="115"/>
          <w:sz w:val="20"/>
          <w:szCs w:val="20"/>
        </w:rPr>
        <w:t>measurement</w:t>
      </w:r>
      <w:r w:rsidRPr="00374950">
        <w:rPr>
          <w:spacing w:val="24"/>
          <w:w w:val="115"/>
          <w:sz w:val="20"/>
          <w:szCs w:val="20"/>
        </w:rPr>
        <w:t xml:space="preserve"> </w:t>
      </w:r>
      <w:r w:rsidRPr="00374950">
        <w:rPr>
          <w:w w:val="115"/>
          <w:sz w:val="20"/>
          <w:szCs w:val="20"/>
        </w:rPr>
        <w:t>with</w:t>
      </w:r>
      <w:r w:rsidRPr="00374950">
        <w:rPr>
          <w:spacing w:val="23"/>
          <w:w w:val="115"/>
          <w:sz w:val="20"/>
          <w:szCs w:val="20"/>
        </w:rPr>
        <w:t xml:space="preserve"> </w:t>
      </w:r>
      <w:r w:rsidRPr="00374950">
        <w:rPr>
          <w:w w:val="115"/>
          <w:sz w:val="20"/>
          <w:szCs w:val="20"/>
        </w:rPr>
        <w:t>the</w:t>
      </w:r>
      <w:r w:rsidRPr="00374950">
        <w:rPr>
          <w:spacing w:val="24"/>
          <w:w w:val="115"/>
          <w:sz w:val="20"/>
          <w:szCs w:val="20"/>
        </w:rPr>
        <w:t xml:space="preserve"> </w:t>
      </w:r>
      <w:r w:rsidRPr="00374950">
        <w:rPr>
          <w:w w:val="115"/>
          <w:sz w:val="20"/>
          <w:szCs w:val="20"/>
        </w:rPr>
        <w:t>compass</w:t>
      </w:r>
      <w:r w:rsidRPr="00374950">
        <w:rPr>
          <w:spacing w:val="23"/>
          <w:w w:val="115"/>
          <w:sz w:val="20"/>
          <w:szCs w:val="20"/>
        </w:rPr>
        <w:t xml:space="preserve"> </w:t>
      </w:r>
      <w:r w:rsidRPr="00374950">
        <w:rPr>
          <w:w w:val="115"/>
          <w:sz w:val="20"/>
          <w:szCs w:val="20"/>
        </w:rPr>
        <w:t>goniometer</w:t>
      </w:r>
      <w:r w:rsidRPr="00374950">
        <w:rPr>
          <w:spacing w:val="23"/>
          <w:w w:val="115"/>
          <w:sz w:val="20"/>
          <w:szCs w:val="20"/>
        </w:rPr>
        <w:t xml:space="preserve"> </w:t>
      </w:r>
      <w:r w:rsidRPr="00374950">
        <w:rPr>
          <w:w w:val="115"/>
          <w:sz w:val="20"/>
          <w:szCs w:val="20"/>
        </w:rPr>
        <w:t>of</w:t>
      </w:r>
      <w:r w:rsidRPr="00374950">
        <w:rPr>
          <w:spacing w:val="24"/>
          <w:w w:val="115"/>
          <w:sz w:val="20"/>
          <w:szCs w:val="20"/>
        </w:rPr>
        <w:t xml:space="preserve"> </w:t>
      </w:r>
      <w:r w:rsidRPr="00374950">
        <w:rPr>
          <w:w w:val="115"/>
          <w:sz w:val="20"/>
          <w:szCs w:val="20"/>
        </w:rPr>
        <w:t>the</w:t>
      </w:r>
      <w:r w:rsidRPr="00374950">
        <w:rPr>
          <w:spacing w:val="23"/>
          <w:w w:val="115"/>
          <w:sz w:val="20"/>
          <w:szCs w:val="20"/>
        </w:rPr>
        <w:t xml:space="preserve"> </w:t>
      </w:r>
      <w:r w:rsidRPr="00374950">
        <w:rPr>
          <w:w w:val="115"/>
          <w:sz w:val="20"/>
          <w:szCs w:val="20"/>
        </w:rPr>
        <w:t>CROM</w:t>
      </w:r>
      <w:r w:rsidRPr="00374950">
        <w:rPr>
          <w:spacing w:val="23"/>
          <w:w w:val="115"/>
          <w:sz w:val="20"/>
          <w:szCs w:val="20"/>
        </w:rPr>
        <w:t xml:space="preserve"> </w:t>
      </w:r>
      <w:r w:rsidRPr="00374950">
        <w:rPr>
          <w:w w:val="115"/>
          <w:sz w:val="20"/>
          <w:szCs w:val="20"/>
        </w:rPr>
        <w:t>device.</w:t>
      </w:r>
      <w:r w:rsidRPr="00374950">
        <w:rPr>
          <w:spacing w:val="23"/>
          <w:w w:val="115"/>
          <w:sz w:val="20"/>
          <w:szCs w:val="20"/>
        </w:rPr>
        <w:t xml:space="preserve"> </w:t>
      </w:r>
      <w:r w:rsidRPr="00374950">
        <w:rPr>
          <w:w w:val="115"/>
          <w:sz w:val="20"/>
          <w:szCs w:val="20"/>
        </w:rPr>
        <w:t>A</w:t>
      </w:r>
      <w:r w:rsidRPr="00374950">
        <w:rPr>
          <w:spacing w:val="24"/>
          <w:w w:val="115"/>
          <w:sz w:val="20"/>
          <w:szCs w:val="20"/>
        </w:rPr>
        <w:t xml:space="preserve"> </w:t>
      </w:r>
      <w:r w:rsidRPr="00374950">
        <w:rPr>
          <w:w w:val="115"/>
          <w:sz w:val="20"/>
          <w:szCs w:val="20"/>
        </w:rPr>
        <w:t>magnetic yoke stabilizes the compass needle, compensating for the influence of electromagnetic fields.</w:t>
      </w:r>
    </w:p>
    <w:p w14:paraId="330865A9" w14:textId="77777777" w:rsidR="00D54B40" w:rsidRDefault="00D54B40" w:rsidP="00D54B40">
      <w:pPr>
        <w:pStyle w:val="Textkrper"/>
        <w:spacing w:before="0"/>
        <w:ind w:left="0"/>
      </w:pPr>
    </w:p>
    <w:p w14:paraId="6430C68E" w14:textId="77777777" w:rsidR="00D54B40" w:rsidRDefault="00D54B40" w:rsidP="00D54B40">
      <w:pPr>
        <w:pStyle w:val="Textkrper"/>
        <w:spacing w:before="0"/>
        <w:ind w:left="0"/>
      </w:pPr>
    </w:p>
    <w:p w14:paraId="3E3E1E56" w14:textId="77777777" w:rsidR="00D54B40" w:rsidRDefault="00D54B40" w:rsidP="00D54B40">
      <w:pPr>
        <w:widowControl/>
        <w:autoSpaceDE/>
        <w:autoSpaceDN/>
        <w:spacing w:after="160" w:line="259" w:lineRule="auto"/>
      </w:pPr>
      <w:r>
        <w:rPr>
          <w:noProof/>
        </w:rPr>
        <w:lastRenderedPageBreak/>
        <w:drawing>
          <wp:inline distT="0" distB="0" distL="0" distR="0" wp14:anchorId="7AA921AC" wp14:editId="457DB2E7">
            <wp:extent cx="1876425" cy="2710180"/>
            <wp:effectExtent l="0" t="0" r="9525" b="0"/>
            <wp:docPr id="386479191" name="Grafik 43" descr="Ein Bild, das Zeichnung, Clipart, Darstellung, Cartoo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479191" name="Grafik 43" descr="Ein Bild, das Zeichnung, Clipart, Darstellung, Cartoo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EA088" w14:textId="6535EB8B" w:rsidR="00D54B40" w:rsidRPr="00374950" w:rsidRDefault="00D54B40" w:rsidP="00374950">
      <w:pPr>
        <w:spacing w:before="1" w:line="247" w:lineRule="auto"/>
        <w:ind w:right="5"/>
        <w:rPr>
          <w:w w:val="115"/>
          <w:sz w:val="20"/>
          <w:szCs w:val="20"/>
        </w:rPr>
      </w:pPr>
      <w:r w:rsidRPr="00374950">
        <w:rPr>
          <w:b/>
          <w:w w:val="115"/>
          <w:sz w:val="20"/>
          <w:szCs w:val="20"/>
        </w:rPr>
        <w:t>Fig</w:t>
      </w:r>
      <w:r w:rsidR="00374950" w:rsidRPr="00374950">
        <w:rPr>
          <w:b/>
          <w:w w:val="115"/>
          <w:sz w:val="20"/>
          <w:szCs w:val="20"/>
        </w:rPr>
        <w:t>ure</w:t>
      </w:r>
      <w:r w:rsidRPr="00374950">
        <w:rPr>
          <w:b/>
          <w:spacing w:val="34"/>
          <w:w w:val="115"/>
          <w:sz w:val="20"/>
          <w:szCs w:val="20"/>
        </w:rPr>
        <w:t xml:space="preserve"> </w:t>
      </w:r>
      <w:r w:rsidR="006C09C6" w:rsidRPr="00374950">
        <w:rPr>
          <w:b/>
          <w:w w:val="115"/>
          <w:sz w:val="20"/>
          <w:szCs w:val="20"/>
        </w:rPr>
        <w:t>S</w:t>
      </w:r>
      <w:r w:rsidR="00393DA5" w:rsidRPr="00374950">
        <w:rPr>
          <w:b/>
          <w:w w:val="115"/>
          <w:sz w:val="20"/>
          <w:szCs w:val="20"/>
        </w:rPr>
        <w:t>3</w:t>
      </w:r>
      <w:r w:rsidRPr="00374950">
        <w:rPr>
          <w:b/>
          <w:spacing w:val="40"/>
          <w:w w:val="115"/>
          <w:sz w:val="20"/>
          <w:szCs w:val="20"/>
        </w:rPr>
        <w:t xml:space="preserve"> </w:t>
      </w:r>
      <w:r w:rsidRPr="00374950">
        <w:rPr>
          <w:w w:val="115"/>
          <w:sz w:val="20"/>
          <w:szCs w:val="20"/>
        </w:rPr>
        <w:t>Schematic illustration of the positioning of the ultrasound probe along the sternocleidomastoid muscle.</w:t>
      </w:r>
    </w:p>
    <w:p w14:paraId="1BDC3FC4" w14:textId="77777777" w:rsidR="00A21FA7" w:rsidRDefault="00A21FA7" w:rsidP="00D54B40">
      <w:pPr>
        <w:widowControl/>
        <w:autoSpaceDE/>
        <w:autoSpaceDN/>
        <w:spacing w:after="160" w:line="259" w:lineRule="auto"/>
        <w:rPr>
          <w:b/>
        </w:rPr>
      </w:pPr>
    </w:p>
    <w:p w14:paraId="2E35C170" w14:textId="77777777" w:rsidR="00374950" w:rsidRDefault="00374950" w:rsidP="00D54B40">
      <w:pPr>
        <w:widowControl/>
        <w:autoSpaceDE/>
        <w:autoSpaceDN/>
        <w:spacing w:after="160" w:line="259" w:lineRule="auto"/>
        <w:rPr>
          <w:b/>
        </w:rPr>
      </w:pPr>
    </w:p>
    <w:p w14:paraId="05A20833" w14:textId="278D8AFA" w:rsidR="00D54B40" w:rsidRPr="00691DAC" w:rsidRDefault="00D54B40" w:rsidP="00374950">
      <w:pPr>
        <w:widowControl/>
        <w:autoSpaceDE/>
        <w:autoSpaceDN/>
        <w:spacing w:after="160" w:line="259" w:lineRule="auto"/>
        <w:rPr>
          <w:b/>
          <w:sz w:val="24"/>
          <w:szCs w:val="24"/>
        </w:rPr>
      </w:pPr>
      <w:r w:rsidRPr="00691DAC">
        <w:rPr>
          <w:b/>
          <w:sz w:val="24"/>
          <w:szCs w:val="24"/>
        </w:rPr>
        <w:t xml:space="preserve">Power Analysis </w:t>
      </w:r>
      <w:bookmarkStart w:id="1" w:name="_Hlk205993406"/>
      <w:r w:rsidRPr="00691DAC">
        <w:rPr>
          <w:b/>
          <w:sz w:val="24"/>
          <w:szCs w:val="24"/>
        </w:rPr>
        <w:t>(Post-irradiated vs. Controls)</w:t>
      </w:r>
      <w:bookmarkEnd w:id="1"/>
    </w:p>
    <w:p w14:paraId="3421379D" w14:textId="77777777" w:rsidR="00D54B40" w:rsidRPr="00D54B40" w:rsidRDefault="00D54B40" w:rsidP="00D54B40">
      <w:pPr>
        <w:widowControl/>
        <w:autoSpaceDE/>
        <w:autoSpaceDN/>
        <w:spacing w:after="160" w:line="276" w:lineRule="auto"/>
        <w:rPr>
          <w:b/>
          <w:bCs/>
          <w:sz w:val="20"/>
          <w:szCs w:val="20"/>
        </w:rPr>
      </w:pPr>
      <w:r w:rsidRPr="00D54B40">
        <w:rPr>
          <w:b/>
          <w:bCs/>
          <w:sz w:val="20"/>
          <w:szCs w:val="20"/>
        </w:rPr>
        <w:t>Method of Power Analysis</w:t>
      </w:r>
    </w:p>
    <w:p w14:paraId="795F4684" w14:textId="77777777" w:rsidR="00D54B40" w:rsidRPr="00D54B40" w:rsidRDefault="00D54B40" w:rsidP="00374950">
      <w:pPr>
        <w:widowControl/>
        <w:autoSpaceDE/>
        <w:autoSpaceDN/>
        <w:spacing w:line="360" w:lineRule="auto"/>
        <w:rPr>
          <w:bCs/>
          <w:sz w:val="20"/>
          <w:szCs w:val="20"/>
        </w:rPr>
      </w:pPr>
      <w:r w:rsidRPr="00D54B40">
        <w:rPr>
          <w:bCs/>
          <w:sz w:val="20"/>
          <w:szCs w:val="20"/>
        </w:rPr>
        <w:t>Comparison: Independent groups (post-irradiated patients vs. controls) for each measurement site.</w:t>
      </w:r>
    </w:p>
    <w:p w14:paraId="572136E7" w14:textId="77777777" w:rsidR="00D54B40" w:rsidRPr="00D54B40" w:rsidRDefault="00D54B40" w:rsidP="00374950">
      <w:pPr>
        <w:widowControl/>
        <w:autoSpaceDE/>
        <w:autoSpaceDN/>
        <w:spacing w:line="360" w:lineRule="auto"/>
        <w:rPr>
          <w:bCs/>
          <w:sz w:val="20"/>
          <w:szCs w:val="20"/>
        </w:rPr>
      </w:pPr>
      <w:r w:rsidRPr="00D54B40">
        <w:rPr>
          <w:bCs/>
          <w:sz w:val="20"/>
          <w:szCs w:val="20"/>
        </w:rPr>
        <w:t>Effect size: Cohen’s d = (M_post − M_control) / SD_pooled, where SD_pooled = sqrt((SD_post² + SD_control²) / 2).</w:t>
      </w:r>
    </w:p>
    <w:p w14:paraId="30442CFC" w14:textId="77777777" w:rsidR="00D54B40" w:rsidRPr="00D54B40" w:rsidRDefault="00D54B40" w:rsidP="00374950">
      <w:pPr>
        <w:widowControl/>
        <w:autoSpaceDE/>
        <w:autoSpaceDN/>
        <w:spacing w:line="360" w:lineRule="auto"/>
        <w:rPr>
          <w:bCs/>
          <w:sz w:val="20"/>
          <w:szCs w:val="20"/>
        </w:rPr>
      </w:pPr>
      <w:r w:rsidRPr="00D54B40">
        <w:rPr>
          <w:bCs/>
          <w:sz w:val="20"/>
          <w:szCs w:val="20"/>
        </w:rPr>
        <w:t>Test: Two-sided t-test, α = 0.05, 1:1 allocation.</w:t>
      </w:r>
    </w:p>
    <w:p w14:paraId="427E9D0F" w14:textId="77777777" w:rsidR="00D54B40" w:rsidRPr="00D54B40" w:rsidRDefault="00D54B40" w:rsidP="00374950">
      <w:pPr>
        <w:widowControl/>
        <w:autoSpaceDE/>
        <w:autoSpaceDN/>
        <w:spacing w:line="360" w:lineRule="auto"/>
        <w:rPr>
          <w:bCs/>
          <w:sz w:val="20"/>
          <w:szCs w:val="20"/>
        </w:rPr>
      </w:pPr>
      <w:r w:rsidRPr="00D54B40">
        <w:rPr>
          <w:bCs/>
          <w:sz w:val="20"/>
          <w:szCs w:val="20"/>
        </w:rPr>
        <w:t>Assumed sample size for power estimation: n = 16 per group.</w:t>
      </w:r>
    </w:p>
    <w:p w14:paraId="0E5C164E" w14:textId="77777777" w:rsidR="00D54B40" w:rsidRPr="00D54B40" w:rsidRDefault="00D54B40" w:rsidP="00374950">
      <w:pPr>
        <w:widowControl/>
        <w:autoSpaceDE/>
        <w:autoSpaceDN/>
        <w:spacing w:line="360" w:lineRule="auto"/>
        <w:rPr>
          <w:bCs/>
          <w:sz w:val="20"/>
          <w:szCs w:val="20"/>
        </w:rPr>
      </w:pPr>
      <w:r w:rsidRPr="00D54B40">
        <w:rPr>
          <w:bCs/>
          <w:sz w:val="20"/>
          <w:szCs w:val="20"/>
        </w:rPr>
        <w:t>Data source: Means and standard deviations provided.</w:t>
      </w:r>
    </w:p>
    <w:p w14:paraId="7DD0573E" w14:textId="77777777" w:rsidR="00D54B40" w:rsidRPr="00D54B40" w:rsidRDefault="00D54B40" w:rsidP="00D54B40">
      <w:pPr>
        <w:widowControl/>
        <w:autoSpaceDE/>
        <w:autoSpaceDN/>
        <w:spacing w:after="160" w:line="276" w:lineRule="auto"/>
        <w:rPr>
          <w:bCs/>
          <w:sz w:val="20"/>
          <w:szCs w:val="20"/>
        </w:rPr>
      </w:pPr>
    </w:p>
    <w:p w14:paraId="3CAFEC78" w14:textId="77777777" w:rsidR="00D54B40" w:rsidRPr="00D54B40" w:rsidRDefault="00D54B40" w:rsidP="00D54B40">
      <w:pPr>
        <w:widowControl/>
        <w:autoSpaceDE/>
        <w:autoSpaceDN/>
        <w:spacing w:after="160" w:line="276" w:lineRule="auto"/>
        <w:rPr>
          <w:b/>
          <w:bCs/>
          <w:sz w:val="20"/>
          <w:szCs w:val="20"/>
        </w:rPr>
      </w:pPr>
      <w:r w:rsidRPr="00D54B40">
        <w:rPr>
          <w:b/>
          <w:bCs/>
          <w:sz w:val="20"/>
          <w:szCs w:val="20"/>
        </w:rPr>
        <w:t>Main Results (n = 16 per group)</w:t>
      </w:r>
    </w:p>
    <w:p w14:paraId="440F96AE" w14:textId="77777777" w:rsidR="00D54B40" w:rsidRPr="00D54B40" w:rsidRDefault="00D54B40" w:rsidP="00374950">
      <w:pPr>
        <w:widowControl/>
        <w:autoSpaceDE/>
        <w:autoSpaceDN/>
        <w:spacing w:after="160" w:line="360" w:lineRule="auto"/>
        <w:rPr>
          <w:bCs/>
          <w:sz w:val="20"/>
          <w:szCs w:val="20"/>
        </w:rPr>
      </w:pPr>
      <w:r w:rsidRPr="00D54B40">
        <w:rPr>
          <w:bCs/>
          <w:sz w:val="20"/>
          <w:szCs w:val="20"/>
        </w:rPr>
        <w:t>All measurement sites showed markedly higher stiffness in the post-irradiated group. Absolute differences ranged from +39.6 to +72.8 kPa. Standardized effect sizes were consistently large (d = 1.01–1.35). The corresponding statistical power was high—≥ 0.85 for all but one site (range 0.79–0.96). Reported p-values (&lt;0.001) are consistent with these large effects.</w:t>
      </w:r>
    </w:p>
    <w:p w14:paraId="34917A1D" w14:textId="77777777" w:rsidR="00A21FA7" w:rsidRDefault="00A21FA7">
      <w:pPr>
        <w:widowControl/>
        <w:autoSpaceDE/>
        <w:autoSpaceDN/>
        <w:spacing w:after="160" w:line="259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251457F2" w14:textId="6B86FC7F" w:rsidR="00D54B40" w:rsidRPr="00D54B40" w:rsidRDefault="00D54B40" w:rsidP="00D54B40">
      <w:pPr>
        <w:widowControl/>
        <w:autoSpaceDE/>
        <w:autoSpaceDN/>
        <w:spacing w:after="160" w:line="276" w:lineRule="auto"/>
        <w:rPr>
          <w:b/>
          <w:bCs/>
          <w:sz w:val="20"/>
          <w:szCs w:val="20"/>
        </w:rPr>
      </w:pPr>
      <w:r w:rsidRPr="00D54B40">
        <w:rPr>
          <w:b/>
          <w:bCs/>
          <w:sz w:val="20"/>
          <w:szCs w:val="20"/>
        </w:rPr>
        <w:lastRenderedPageBreak/>
        <w:t>Site</w:t>
      </w:r>
      <w:r w:rsidRPr="00D54B40">
        <w:rPr>
          <w:b/>
          <w:bCs/>
          <w:sz w:val="20"/>
          <w:szCs w:val="20"/>
        </w:rPr>
        <w:tab/>
        <w:t>Δ Mean (kPa)</w:t>
      </w:r>
      <w:r w:rsidRPr="00D54B40">
        <w:rPr>
          <w:b/>
          <w:bCs/>
          <w:sz w:val="20"/>
          <w:szCs w:val="20"/>
        </w:rPr>
        <w:tab/>
        <w:t>Cohen’s d</w:t>
      </w:r>
      <w:r w:rsidRPr="00D54B40">
        <w:rPr>
          <w:b/>
          <w:bCs/>
          <w:sz w:val="20"/>
          <w:szCs w:val="20"/>
        </w:rPr>
        <w:tab/>
        <w:t>Power (n=16)</w:t>
      </w:r>
    </w:p>
    <w:p w14:paraId="187EA460" w14:textId="77777777" w:rsidR="00D54B40" w:rsidRPr="00D54B40" w:rsidRDefault="00D54B40" w:rsidP="00D54B40">
      <w:pPr>
        <w:widowControl/>
        <w:autoSpaceDE/>
        <w:autoSpaceDN/>
        <w:spacing w:after="160" w:line="276" w:lineRule="auto"/>
        <w:rPr>
          <w:bCs/>
          <w:sz w:val="20"/>
          <w:szCs w:val="20"/>
        </w:rPr>
      </w:pPr>
      <w:r w:rsidRPr="00D54B40">
        <w:rPr>
          <w:bCs/>
          <w:sz w:val="20"/>
          <w:szCs w:val="20"/>
        </w:rPr>
        <w:t>L mid SCM</w:t>
      </w:r>
      <w:r w:rsidRPr="00D54B40">
        <w:rPr>
          <w:bCs/>
          <w:sz w:val="20"/>
          <w:szCs w:val="20"/>
        </w:rPr>
        <w:tab/>
        <w:t>47.7</w:t>
      </w:r>
      <w:r w:rsidRPr="00D54B40">
        <w:rPr>
          <w:bCs/>
          <w:sz w:val="20"/>
          <w:szCs w:val="20"/>
        </w:rPr>
        <w:tab/>
        <w:t>1.15</w:t>
      </w:r>
      <w:r w:rsidRPr="00D54B40">
        <w:rPr>
          <w:bCs/>
          <w:sz w:val="20"/>
          <w:szCs w:val="20"/>
        </w:rPr>
        <w:tab/>
        <w:t>0.88</w:t>
      </w:r>
    </w:p>
    <w:p w14:paraId="4D74B8F6" w14:textId="77777777" w:rsidR="00D54B40" w:rsidRPr="00D54B40" w:rsidRDefault="00D54B40" w:rsidP="00D54B40">
      <w:pPr>
        <w:widowControl/>
        <w:autoSpaceDE/>
        <w:autoSpaceDN/>
        <w:spacing w:after="160" w:line="276" w:lineRule="auto"/>
        <w:rPr>
          <w:bCs/>
          <w:sz w:val="20"/>
          <w:szCs w:val="20"/>
        </w:rPr>
      </w:pPr>
      <w:r w:rsidRPr="00D54B40">
        <w:rPr>
          <w:bCs/>
          <w:sz w:val="20"/>
          <w:szCs w:val="20"/>
        </w:rPr>
        <w:t>L low SCM</w:t>
      </w:r>
      <w:r w:rsidRPr="00D54B40">
        <w:rPr>
          <w:bCs/>
          <w:sz w:val="20"/>
          <w:szCs w:val="20"/>
        </w:rPr>
        <w:tab/>
        <w:t>44.3</w:t>
      </w:r>
      <w:r w:rsidRPr="00D54B40">
        <w:rPr>
          <w:bCs/>
          <w:sz w:val="20"/>
          <w:szCs w:val="20"/>
        </w:rPr>
        <w:tab/>
        <w:t>1.35</w:t>
      </w:r>
      <w:r w:rsidRPr="00D54B40">
        <w:rPr>
          <w:bCs/>
          <w:sz w:val="20"/>
          <w:szCs w:val="20"/>
        </w:rPr>
        <w:tab/>
        <w:t>0.96</w:t>
      </w:r>
    </w:p>
    <w:p w14:paraId="11E89727" w14:textId="77777777" w:rsidR="00D54B40" w:rsidRPr="00D54B40" w:rsidRDefault="00D54B40" w:rsidP="00D54B40">
      <w:pPr>
        <w:widowControl/>
        <w:autoSpaceDE/>
        <w:autoSpaceDN/>
        <w:spacing w:after="160" w:line="276" w:lineRule="auto"/>
        <w:rPr>
          <w:bCs/>
          <w:sz w:val="20"/>
          <w:szCs w:val="20"/>
        </w:rPr>
      </w:pPr>
      <w:r w:rsidRPr="00D54B40">
        <w:rPr>
          <w:bCs/>
          <w:sz w:val="20"/>
          <w:szCs w:val="20"/>
        </w:rPr>
        <w:t>R mid SCM</w:t>
      </w:r>
      <w:r w:rsidRPr="00D54B40">
        <w:rPr>
          <w:bCs/>
          <w:sz w:val="20"/>
          <w:szCs w:val="20"/>
        </w:rPr>
        <w:tab/>
        <w:t>48.8</w:t>
      </w:r>
      <w:r w:rsidRPr="00D54B40">
        <w:rPr>
          <w:bCs/>
          <w:sz w:val="20"/>
          <w:szCs w:val="20"/>
        </w:rPr>
        <w:tab/>
        <w:t>1.14</w:t>
      </w:r>
      <w:r w:rsidRPr="00D54B40">
        <w:rPr>
          <w:bCs/>
          <w:sz w:val="20"/>
          <w:szCs w:val="20"/>
        </w:rPr>
        <w:tab/>
        <w:t>0.88</w:t>
      </w:r>
    </w:p>
    <w:p w14:paraId="22FB6838" w14:textId="77777777" w:rsidR="00D54B40" w:rsidRPr="00D54B40" w:rsidRDefault="00D54B40" w:rsidP="00D54B40">
      <w:pPr>
        <w:widowControl/>
        <w:autoSpaceDE/>
        <w:autoSpaceDN/>
        <w:spacing w:after="160" w:line="276" w:lineRule="auto"/>
        <w:rPr>
          <w:bCs/>
          <w:sz w:val="20"/>
          <w:szCs w:val="20"/>
        </w:rPr>
      </w:pPr>
      <w:r w:rsidRPr="00D54B40">
        <w:rPr>
          <w:bCs/>
          <w:sz w:val="20"/>
          <w:szCs w:val="20"/>
        </w:rPr>
        <w:t>R low SCM</w:t>
      </w:r>
      <w:r w:rsidRPr="00D54B40">
        <w:rPr>
          <w:bCs/>
          <w:sz w:val="20"/>
          <w:szCs w:val="20"/>
        </w:rPr>
        <w:tab/>
        <w:t>56.1</w:t>
      </w:r>
      <w:r w:rsidRPr="00D54B40">
        <w:rPr>
          <w:bCs/>
          <w:sz w:val="20"/>
          <w:szCs w:val="20"/>
        </w:rPr>
        <w:tab/>
        <w:t>1.16</w:t>
      </w:r>
      <w:r w:rsidRPr="00D54B40">
        <w:rPr>
          <w:bCs/>
          <w:sz w:val="20"/>
          <w:szCs w:val="20"/>
        </w:rPr>
        <w:tab/>
        <w:t>0.89</w:t>
      </w:r>
    </w:p>
    <w:p w14:paraId="21D9F6E6" w14:textId="77777777" w:rsidR="00D54B40" w:rsidRPr="00D54B40" w:rsidRDefault="00D54B40" w:rsidP="00D54B40">
      <w:pPr>
        <w:widowControl/>
        <w:autoSpaceDE/>
        <w:autoSpaceDN/>
        <w:spacing w:after="160" w:line="276" w:lineRule="auto"/>
        <w:rPr>
          <w:bCs/>
          <w:sz w:val="20"/>
          <w:szCs w:val="20"/>
        </w:rPr>
      </w:pPr>
      <w:r w:rsidRPr="00D54B40">
        <w:rPr>
          <w:bCs/>
          <w:sz w:val="20"/>
          <w:szCs w:val="20"/>
        </w:rPr>
        <w:t>Mean SCM</w:t>
      </w:r>
      <w:r w:rsidRPr="00D54B40">
        <w:rPr>
          <w:bCs/>
          <w:sz w:val="20"/>
          <w:szCs w:val="20"/>
        </w:rPr>
        <w:tab/>
        <w:t>44.7</w:t>
      </w:r>
      <w:r w:rsidRPr="00D54B40">
        <w:rPr>
          <w:bCs/>
          <w:sz w:val="20"/>
          <w:szCs w:val="20"/>
        </w:rPr>
        <w:tab/>
        <w:t>1.33</w:t>
      </w:r>
      <w:r w:rsidRPr="00D54B40">
        <w:rPr>
          <w:bCs/>
          <w:sz w:val="20"/>
          <w:szCs w:val="20"/>
        </w:rPr>
        <w:tab/>
        <w:t>0.95</w:t>
      </w:r>
    </w:p>
    <w:p w14:paraId="41E1A521" w14:textId="77777777" w:rsidR="00D54B40" w:rsidRPr="00D54B40" w:rsidRDefault="00D54B40" w:rsidP="00D54B40">
      <w:pPr>
        <w:widowControl/>
        <w:autoSpaceDE/>
        <w:autoSpaceDN/>
        <w:spacing w:after="160" w:line="276" w:lineRule="auto"/>
        <w:rPr>
          <w:bCs/>
          <w:sz w:val="20"/>
          <w:szCs w:val="20"/>
        </w:rPr>
      </w:pPr>
      <w:r w:rsidRPr="00D54B40">
        <w:rPr>
          <w:bCs/>
          <w:sz w:val="20"/>
          <w:szCs w:val="20"/>
        </w:rPr>
        <w:t>L mid superficial fascia</w:t>
      </w:r>
      <w:r w:rsidRPr="00D54B40">
        <w:rPr>
          <w:bCs/>
          <w:sz w:val="20"/>
          <w:szCs w:val="20"/>
        </w:rPr>
        <w:tab/>
        <w:t>39.6</w:t>
      </w:r>
      <w:r w:rsidRPr="00D54B40">
        <w:rPr>
          <w:bCs/>
          <w:sz w:val="20"/>
          <w:szCs w:val="20"/>
        </w:rPr>
        <w:tab/>
        <w:t>1.11</w:t>
      </w:r>
      <w:r w:rsidRPr="00D54B40">
        <w:rPr>
          <w:bCs/>
          <w:sz w:val="20"/>
          <w:szCs w:val="20"/>
        </w:rPr>
        <w:tab/>
        <w:t>0.86</w:t>
      </w:r>
    </w:p>
    <w:p w14:paraId="0888B916" w14:textId="77777777" w:rsidR="00D54B40" w:rsidRPr="00D54B40" w:rsidRDefault="00D54B40" w:rsidP="00D54B40">
      <w:pPr>
        <w:widowControl/>
        <w:autoSpaceDE/>
        <w:autoSpaceDN/>
        <w:spacing w:after="160" w:line="276" w:lineRule="auto"/>
        <w:rPr>
          <w:bCs/>
          <w:sz w:val="20"/>
          <w:szCs w:val="20"/>
        </w:rPr>
      </w:pPr>
      <w:r w:rsidRPr="00D54B40">
        <w:rPr>
          <w:bCs/>
          <w:sz w:val="20"/>
          <w:szCs w:val="20"/>
        </w:rPr>
        <w:t>L low superficial fascia</w:t>
      </w:r>
      <w:r w:rsidRPr="00D54B40">
        <w:rPr>
          <w:bCs/>
          <w:sz w:val="20"/>
          <w:szCs w:val="20"/>
        </w:rPr>
        <w:tab/>
        <w:t>51.1</w:t>
      </w:r>
      <w:r w:rsidRPr="00D54B40">
        <w:rPr>
          <w:bCs/>
          <w:sz w:val="20"/>
          <w:szCs w:val="20"/>
        </w:rPr>
        <w:tab/>
        <w:t>1.18</w:t>
      </w:r>
      <w:r w:rsidRPr="00D54B40">
        <w:rPr>
          <w:bCs/>
          <w:sz w:val="20"/>
          <w:szCs w:val="20"/>
        </w:rPr>
        <w:tab/>
        <w:t>0.90</w:t>
      </w:r>
    </w:p>
    <w:p w14:paraId="00312928" w14:textId="77777777" w:rsidR="00D54B40" w:rsidRPr="00D54B40" w:rsidRDefault="00D54B40" w:rsidP="00D54B40">
      <w:pPr>
        <w:widowControl/>
        <w:autoSpaceDE/>
        <w:autoSpaceDN/>
        <w:spacing w:after="160" w:line="276" w:lineRule="auto"/>
        <w:rPr>
          <w:bCs/>
          <w:sz w:val="20"/>
          <w:szCs w:val="20"/>
        </w:rPr>
      </w:pPr>
      <w:r w:rsidRPr="00D54B40">
        <w:rPr>
          <w:bCs/>
          <w:sz w:val="20"/>
          <w:szCs w:val="20"/>
        </w:rPr>
        <w:t>R mid superficial fascia</w:t>
      </w:r>
      <w:r w:rsidRPr="00D54B40">
        <w:rPr>
          <w:bCs/>
          <w:sz w:val="20"/>
          <w:szCs w:val="20"/>
        </w:rPr>
        <w:tab/>
        <w:t>42.9</w:t>
      </w:r>
      <w:r w:rsidRPr="00D54B40">
        <w:rPr>
          <w:bCs/>
          <w:sz w:val="20"/>
          <w:szCs w:val="20"/>
        </w:rPr>
        <w:tab/>
        <w:t>1.01</w:t>
      </w:r>
      <w:r w:rsidRPr="00D54B40">
        <w:rPr>
          <w:bCs/>
          <w:sz w:val="20"/>
          <w:szCs w:val="20"/>
        </w:rPr>
        <w:tab/>
        <w:t>0.79</w:t>
      </w:r>
    </w:p>
    <w:p w14:paraId="7904A4CA" w14:textId="77777777" w:rsidR="00D54B40" w:rsidRPr="00D54B40" w:rsidRDefault="00D54B40" w:rsidP="00D54B40">
      <w:pPr>
        <w:widowControl/>
        <w:autoSpaceDE/>
        <w:autoSpaceDN/>
        <w:spacing w:after="160" w:line="276" w:lineRule="auto"/>
        <w:rPr>
          <w:bCs/>
          <w:sz w:val="20"/>
          <w:szCs w:val="20"/>
        </w:rPr>
      </w:pPr>
      <w:r w:rsidRPr="00D54B40">
        <w:rPr>
          <w:bCs/>
          <w:sz w:val="20"/>
          <w:szCs w:val="20"/>
        </w:rPr>
        <w:t>R low superficial fascia</w:t>
      </w:r>
      <w:r w:rsidRPr="00D54B40">
        <w:rPr>
          <w:bCs/>
          <w:sz w:val="20"/>
          <w:szCs w:val="20"/>
        </w:rPr>
        <w:tab/>
        <w:t>72.8</w:t>
      </w:r>
      <w:r w:rsidRPr="00D54B40">
        <w:rPr>
          <w:bCs/>
          <w:sz w:val="20"/>
          <w:szCs w:val="20"/>
        </w:rPr>
        <w:tab/>
        <w:t>1.09</w:t>
      </w:r>
      <w:r w:rsidRPr="00D54B40">
        <w:rPr>
          <w:bCs/>
          <w:sz w:val="20"/>
          <w:szCs w:val="20"/>
        </w:rPr>
        <w:tab/>
        <w:t>0.85</w:t>
      </w:r>
    </w:p>
    <w:p w14:paraId="4232E19B" w14:textId="77777777" w:rsidR="00D54B40" w:rsidRPr="00D54B40" w:rsidRDefault="00D54B40" w:rsidP="00D54B40">
      <w:pPr>
        <w:widowControl/>
        <w:autoSpaceDE/>
        <w:autoSpaceDN/>
        <w:spacing w:after="160" w:line="276" w:lineRule="auto"/>
        <w:rPr>
          <w:bCs/>
          <w:sz w:val="20"/>
          <w:szCs w:val="20"/>
        </w:rPr>
      </w:pPr>
      <w:r w:rsidRPr="00D54B40">
        <w:rPr>
          <w:bCs/>
          <w:sz w:val="20"/>
          <w:szCs w:val="20"/>
        </w:rPr>
        <w:t>Mean superficial fascia</w:t>
      </w:r>
      <w:r w:rsidRPr="00D54B40">
        <w:rPr>
          <w:bCs/>
          <w:sz w:val="20"/>
          <w:szCs w:val="20"/>
        </w:rPr>
        <w:tab/>
        <w:t>48.6</w:t>
      </w:r>
      <w:r w:rsidRPr="00D54B40">
        <w:rPr>
          <w:bCs/>
          <w:sz w:val="20"/>
          <w:szCs w:val="20"/>
        </w:rPr>
        <w:tab/>
        <w:t>1.28</w:t>
      </w:r>
      <w:r w:rsidRPr="00D54B40">
        <w:rPr>
          <w:bCs/>
          <w:sz w:val="20"/>
          <w:szCs w:val="20"/>
        </w:rPr>
        <w:tab/>
        <w:t>0.94</w:t>
      </w:r>
    </w:p>
    <w:p w14:paraId="3505C1B7" w14:textId="77777777" w:rsidR="00D54B40" w:rsidRPr="00D54B40" w:rsidRDefault="00D54B40" w:rsidP="00D54B40">
      <w:pPr>
        <w:widowControl/>
        <w:autoSpaceDE/>
        <w:autoSpaceDN/>
        <w:spacing w:after="160" w:line="276" w:lineRule="auto"/>
        <w:rPr>
          <w:bCs/>
          <w:sz w:val="20"/>
          <w:szCs w:val="20"/>
        </w:rPr>
      </w:pPr>
    </w:p>
    <w:p w14:paraId="38E54B1E" w14:textId="77777777" w:rsidR="00D54B40" w:rsidRPr="00D54B40" w:rsidRDefault="00D54B40" w:rsidP="00D54B40">
      <w:pPr>
        <w:widowControl/>
        <w:autoSpaceDE/>
        <w:autoSpaceDN/>
        <w:spacing w:after="160" w:line="276" w:lineRule="auto"/>
        <w:rPr>
          <w:b/>
          <w:bCs/>
          <w:sz w:val="20"/>
          <w:szCs w:val="20"/>
        </w:rPr>
      </w:pPr>
      <w:r w:rsidRPr="00D54B40">
        <w:rPr>
          <w:b/>
          <w:bCs/>
          <w:sz w:val="20"/>
          <w:szCs w:val="20"/>
        </w:rPr>
        <w:t>Highlights</w:t>
      </w:r>
    </w:p>
    <w:p w14:paraId="4F7F9C3C" w14:textId="77777777" w:rsidR="00D54B40" w:rsidRPr="00D54B40" w:rsidRDefault="00D54B40" w:rsidP="00374950">
      <w:pPr>
        <w:widowControl/>
        <w:autoSpaceDE/>
        <w:autoSpaceDN/>
        <w:spacing w:line="360" w:lineRule="auto"/>
        <w:rPr>
          <w:bCs/>
          <w:sz w:val="20"/>
          <w:szCs w:val="20"/>
        </w:rPr>
      </w:pPr>
      <w:r w:rsidRPr="00D54B40">
        <w:rPr>
          <w:bCs/>
          <w:sz w:val="20"/>
          <w:szCs w:val="20"/>
        </w:rPr>
        <w:t>• Largest standardized effect: L low SCM (d = 1.35; Power 0.96)</w:t>
      </w:r>
    </w:p>
    <w:p w14:paraId="6D997792" w14:textId="77777777" w:rsidR="00D54B40" w:rsidRPr="00D54B40" w:rsidRDefault="00D54B40" w:rsidP="00374950">
      <w:pPr>
        <w:widowControl/>
        <w:autoSpaceDE/>
        <w:autoSpaceDN/>
        <w:spacing w:line="360" w:lineRule="auto"/>
        <w:rPr>
          <w:bCs/>
          <w:sz w:val="20"/>
          <w:szCs w:val="20"/>
        </w:rPr>
      </w:pPr>
      <w:r w:rsidRPr="00D54B40">
        <w:rPr>
          <w:bCs/>
          <w:sz w:val="20"/>
          <w:szCs w:val="20"/>
        </w:rPr>
        <w:t>• Largest absolute difference: R low superficial fascia (+72.8 kPa; d = 1.09; Power 0.85)</w:t>
      </w:r>
    </w:p>
    <w:p w14:paraId="338D0AB6" w14:textId="77777777" w:rsidR="00D54B40" w:rsidRPr="00D54B40" w:rsidRDefault="00D54B40" w:rsidP="00374950">
      <w:pPr>
        <w:widowControl/>
        <w:autoSpaceDE/>
        <w:autoSpaceDN/>
        <w:spacing w:line="360" w:lineRule="auto"/>
        <w:rPr>
          <w:bCs/>
          <w:sz w:val="20"/>
          <w:szCs w:val="20"/>
        </w:rPr>
      </w:pPr>
      <w:r w:rsidRPr="00D54B40">
        <w:rPr>
          <w:bCs/>
          <w:sz w:val="20"/>
          <w:szCs w:val="20"/>
        </w:rPr>
        <w:t>• Compartment means: Mean SCM d = 1.33 (Power 0.95), Mean superficial fascia d = 1.28 (Power 0.94)</w:t>
      </w:r>
    </w:p>
    <w:p w14:paraId="44E0A688" w14:textId="77777777" w:rsidR="00D54B40" w:rsidRPr="00D54B40" w:rsidRDefault="00D54B40" w:rsidP="00374950">
      <w:pPr>
        <w:widowControl/>
        <w:autoSpaceDE/>
        <w:autoSpaceDN/>
        <w:spacing w:line="360" w:lineRule="auto"/>
        <w:rPr>
          <w:bCs/>
          <w:sz w:val="20"/>
          <w:szCs w:val="20"/>
        </w:rPr>
      </w:pPr>
      <w:r w:rsidRPr="00D54B40">
        <w:rPr>
          <w:bCs/>
          <w:sz w:val="20"/>
          <w:szCs w:val="20"/>
        </w:rPr>
        <w:t>• Only one site fell slightly below the conventional 0.80 threshold for adequate power: R mid superficial fascia (Power 0.79)</w:t>
      </w:r>
    </w:p>
    <w:p w14:paraId="04DC54EA" w14:textId="77777777" w:rsidR="00D54B40" w:rsidRPr="00D54B40" w:rsidRDefault="00D54B40" w:rsidP="00D54B40">
      <w:pPr>
        <w:widowControl/>
        <w:autoSpaceDE/>
        <w:autoSpaceDN/>
        <w:spacing w:after="160" w:line="276" w:lineRule="auto"/>
        <w:rPr>
          <w:bCs/>
          <w:sz w:val="20"/>
          <w:szCs w:val="20"/>
        </w:rPr>
      </w:pPr>
    </w:p>
    <w:p w14:paraId="2F9E5341" w14:textId="77777777" w:rsidR="00D54B40" w:rsidRPr="00D54B40" w:rsidRDefault="00D54B40" w:rsidP="00D54B40">
      <w:pPr>
        <w:widowControl/>
        <w:autoSpaceDE/>
        <w:autoSpaceDN/>
        <w:spacing w:after="160" w:line="276" w:lineRule="auto"/>
        <w:rPr>
          <w:b/>
          <w:bCs/>
          <w:sz w:val="20"/>
          <w:szCs w:val="20"/>
        </w:rPr>
      </w:pPr>
      <w:r w:rsidRPr="00D54B40">
        <w:rPr>
          <w:b/>
          <w:bCs/>
          <w:sz w:val="20"/>
          <w:szCs w:val="20"/>
        </w:rPr>
        <w:t>Sample Size Planning (Future Studies)</w:t>
      </w:r>
    </w:p>
    <w:p w14:paraId="67ECC33F" w14:textId="77777777" w:rsidR="00D54B40" w:rsidRPr="00D54B40" w:rsidRDefault="00D54B40" w:rsidP="00374950">
      <w:pPr>
        <w:widowControl/>
        <w:autoSpaceDE/>
        <w:autoSpaceDN/>
        <w:spacing w:line="360" w:lineRule="auto"/>
        <w:rPr>
          <w:bCs/>
          <w:sz w:val="20"/>
          <w:szCs w:val="20"/>
        </w:rPr>
      </w:pPr>
      <w:r w:rsidRPr="00D54B40">
        <w:rPr>
          <w:bCs/>
          <w:sz w:val="20"/>
          <w:szCs w:val="20"/>
        </w:rPr>
        <w:t>Required n per group for 80% power (α = 0.05, two-sided), based on observed d-values:</w:t>
      </w:r>
    </w:p>
    <w:p w14:paraId="010B318A" w14:textId="77777777" w:rsidR="00D54B40" w:rsidRPr="00D54B40" w:rsidRDefault="00D54B40" w:rsidP="00374950">
      <w:pPr>
        <w:widowControl/>
        <w:autoSpaceDE/>
        <w:autoSpaceDN/>
        <w:spacing w:line="360" w:lineRule="auto"/>
        <w:rPr>
          <w:bCs/>
          <w:sz w:val="20"/>
          <w:szCs w:val="20"/>
        </w:rPr>
      </w:pPr>
      <w:r w:rsidRPr="00D54B40">
        <w:rPr>
          <w:bCs/>
          <w:sz w:val="20"/>
          <w:szCs w:val="20"/>
        </w:rPr>
        <w:t>• 10–11 per group are sufficient for Mean SCM (d = 1.33) and Mean superficial fascia (d = 1.28)</w:t>
      </w:r>
    </w:p>
    <w:p w14:paraId="257832F5" w14:textId="77777777" w:rsidR="00D54B40" w:rsidRPr="00D54B40" w:rsidRDefault="00D54B40" w:rsidP="00374950">
      <w:pPr>
        <w:widowControl/>
        <w:autoSpaceDE/>
        <w:autoSpaceDN/>
        <w:spacing w:line="360" w:lineRule="auto"/>
        <w:rPr>
          <w:bCs/>
          <w:sz w:val="20"/>
          <w:szCs w:val="20"/>
        </w:rPr>
      </w:pPr>
      <w:r w:rsidRPr="00D54B40">
        <w:rPr>
          <w:bCs/>
          <w:sz w:val="20"/>
          <w:szCs w:val="20"/>
        </w:rPr>
        <w:t>• 10–15 per group for most individual sites (e.g., L mid SCM 13; R low superficial fascia 15)</w:t>
      </w:r>
    </w:p>
    <w:p w14:paraId="0F47A0D9" w14:textId="77777777" w:rsidR="00D54B40" w:rsidRPr="00D54B40" w:rsidRDefault="00D54B40" w:rsidP="00374950">
      <w:pPr>
        <w:widowControl/>
        <w:autoSpaceDE/>
        <w:autoSpaceDN/>
        <w:spacing w:line="360" w:lineRule="auto"/>
        <w:rPr>
          <w:bCs/>
          <w:sz w:val="20"/>
          <w:szCs w:val="20"/>
        </w:rPr>
      </w:pPr>
      <w:r w:rsidRPr="00D54B40">
        <w:rPr>
          <w:bCs/>
          <w:sz w:val="20"/>
          <w:szCs w:val="20"/>
        </w:rPr>
        <w:t>• Up to 17 per group if aiming to detect the smallest observed effect (R mid superficial fascia, d = 1.01) with ≥0.80 power individually</w:t>
      </w:r>
    </w:p>
    <w:p w14:paraId="49F25A85" w14:textId="77777777" w:rsidR="00D54B40" w:rsidRPr="00D54B40" w:rsidRDefault="00D54B40" w:rsidP="00D54B40">
      <w:pPr>
        <w:widowControl/>
        <w:autoSpaceDE/>
        <w:autoSpaceDN/>
        <w:spacing w:after="160" w:line="276" w:lineRule="auto"/>
        <w:rPr>
          <w:b/>
          <w:bCs/>
          <w:sz w:val="20"/>
          <w:szCs w:val="20"/>
        </w:rPr>
      </w:pPr>
    </w:p>
    <w:p w14:paraId="71876C8E" w14:textId="77777777" w:rsidR="00D54B40" w:rsidRPr="00D54B40" w:rsidRDefault="00D54B40" w:rsidP="00D54B40">
      <w:pPr>
        <w:widowControl/>
        <w:autoSpaceDE/>
        <w:autoSpaceDN/>
        <w:spacing w:after="160" w:line="276" w:lineRule="auto"/>
        <w:rPr>
          <w:b/>
          <w:bCs/>
          <w:sz w:val="20"/>
          <w:szCs w:val="20"/>
        </w:rPr>
      </w:pPr>
      <w:r w:rsidRPr="00D54B40">
        <w:rPr>
          <w:b/>
          <w:bCs/>
          <w:sz w:val="20"/>
          <w:szCs w:val="20"/>
        </w:rPr>
        <w:t>Interpretation</w:t>
      </w:r>
    </w:p>
    <w:p w14:paraId="3B4D7B57" w14:textId="13B23E4C" w:rsidR="00D54B40" w:rsidRPr="00D54B40" w:rsidRDefault="00D54B40" w:rsidP="00374950">
      <w:pPr>
        <w:widowControl/>
        <w:autoSpaceDE/>
        <w:autoSpaceDN/>
        <w:spacing w:after="160" w:line="360" w:lineRule="auto"/>
        <w:rPr>
          <w:bCs/>
          <w:sz w:val="20"/>
          <w:szCs w:val="20"/>
        </w:rPr>
      </w:pPr>
      <w:r w:rsidRPr="00D54B40">
        <w:rPr>
          <w:bCs/>
          <w:sz w:val="20"/>
          <w:szCs w:val="20"/>
        </w:rPr>
        <w:t>The post-irradiated group exhibited markedly increased tissue stiffness of both the sternocleidomastoid (SCM) and the superficial fascia compared to controls. The large effect sizes indicate clinically relevant differences, and with n = 16 per group, statistical power was high for almost all sites. For future studies, n ≈ 12–15 per group will generally be sufficient; only the weakest effect would require ≈ 17 per group for robust detection.</w:t>
      </w:r>
    </w:p>
    <w:p w14:paraId="26818C74" w14:textId="77777777" w:rsidR="00D54B40" w:rsidRPr="00D54B40" w:rsidRDefault="00D54B40" w:rsidP="00374950">
      <w:pPr>
        <w:widowControl/>
        <w:autoSpaceDE/>
        <w:autoSpaceDN/>
        <w:spacing w:after="160" w:line="360" w:lineRule="auto"/>
        <w:rPr>
          <w:bCs/>
          <w:sz w:val="20"/>
          <w:szCs w:val="20"/>
        </w:rPr>
      </w:pPr>
      <w:r w:rsidRPr="00D54B40">
        <w:rPr>
          <w:bCs/>
          <w:sz w:val="20"/>
          <w:szCs w:val="20"/>
        </w:rPr>
        <w:t>Note: This power analysis is based on group means/SDs and the assumption of independent samples with a two-sided t-test. If variances differ substantially or distributions deviate from normality, robust or transformed analyses should be considered in addition.</w:t>
      </w:r>
    </w:p>
    <w:p w14:paraId="6D9C05BE" w14:textId="77777777" w:rsidR="00D54B40" w:rsidRDefault="00D54B40" w:rsidP="00172E2F">
      <w:pPr>
        <w:spacing w:before="3" w:line="247" w:lineRule="auto"/>
        <w:ind w:right="5"/>
        <w:rPr>
          <w:b/>
          <w:bCs/>
          <w:sz w:val="16"/>
        </w:rPr>
      </w:pPr>
    </w:p>
    <w:sectPr w:rsidR="00D54B4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25C02" w14:textId="77777777" w:rsidR="00D452E6" w:rsidRDefault="00D452E6" w:rsidP="00A21FA7">
      <w:r>
        <w:separator/>
      </w:r>
    </w:p>
  </w:endnote>
  <w:endnote w:type="continuationSeparator" w:id="0">
    <w:p w14:paraId="4C1C86D4" w14:textId="77777777" w:rsidR="00D452E6" w:rsidRDefault="00D452E6" w:rsidP="00A21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E06DD" w14:textId="77777777" w:rsidR="00A21FA7" w:rsidRDefault="00A21FA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671840"/>
      <w:docPartObj>
        <w:docPartGallery w:val="Page Numbers (Bottom of Page)"/>
        <w:docPartUnique/>
      </w:docPartObj>
    </w:sdtPr>
    <w:sdtContent>
      <w:p w14:paraId="7504D2E0" w14:textId="027D8D7B" w:rsidR="00A21FA7" w:rsidRDefault="00A21FA7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704323A" w14:textId="77777777" w:rsidR="00A21FA7" w:rsidRDefault="00A21FA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415CA" w14:textId="77777777" w:rsidR="00A21FA7" w:rsidRDefault="00A21FA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E04FD" w14:textId="77777777" w:rsidR="00D452E6" w:rsidRDefault="00D452E6" w:rsidP="00A21FA7">
      <w:r>
        <w:separator/>
      </w:r>
    </w:p>
  </w:footnote>
  <w:footnote w:type="continuationSeparator" w:id="0">
    <w:p w14:paraId="1E6F3515" w14:textId="77777777" w:rsidR="00D452E6" w:rsidRDefault="00D452E6" w:rsidP="00A21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224DB" w14:textId="77777777" w:rsidR="00A21FA7" w:rsidRDefault="00A21FA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B3726" w14:textId="77777777" w:rsidR="00A21FA7" w:rsidRDefault="00A21FA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EAD32" w14:textId="77777777" w:rsidR="00A21FA7" w:rsidRDefault="00A21FA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3C30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377827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802"/>
    <w:rsid w:val="000149B4"/>
    <w:rsid w:val="000656BA"/>
    <w:rsid w:val="000A21BD"/>
    <w:rsid w:val="00114CEA"/>
    <w:rsid w:val="0011732E"/>
    <w:rsid w:val="00172E2F"/>
    <w:rsid w:val="00193BD9"/>
    <w:rsid w:val="002A3A9A"/>
    <w:rsid w:val="00374950"/>
    <w:rsid w:val="00391E4A"/>
    <w:rsid w:val="00393DA5"/>
    <w:rsid w:val="003A6AC5"/>
    <w:rsid w:val="00466C7C"/>
    <w:rsid w:val="00691DAC"/>
    <w:rsid w:val="00696E28"/>
    <w:rsid w:val="006C09C6"/>
    <w:rsid w:val="006C1183"/>
    <w:rsid w:val="007B1B54"/>
    <w:rsid w:val="00824DD2"/>
    <w:rsid w:val="00842B3E"/>
    <w:rsid w:val="0093371E"/>
    <w:rsid w:val="00963F15"/>
    <w:rsid w:val="00A00D0A"/>
    <w:rsid w:val="00A21FA7"/>
    <w:rsid w:val="00A87F8C"/>
    <w:rsid w:val="00B5731B"/>
    <w:rsid w:val="00B90802"/>
    <w:rsid w:val="00BE660F"/>
    <w:rsid w:val="00C2048A"/>
    <w:rsid w:val="00C51B96"/>
    <w:rsid w:val="00D452E6"/>
    <w:rsid w:val="00D46D20"/>
    <w:rsid w:val="00D54B40"/>
    <w:rsid w:val="00D61F49"/>
    <w:rsid w:val="00E931A9"/>
    <w:rsid w:val="00F30FF2"/>
    <w:rsid w:val="00F54CD0"/>
    <w:rsid w:val="00F77EA1"/>
    <w:rsid w:val="00FE63C1"/>
    <w:rsid w:val="00FF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B088C"/>
  <w15:chartTrackingRefBased/>
  <w15:docId w15:val="{2FD32A62-10AE-4E48-A692-C0A519810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54B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90802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90802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90802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90802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90802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90802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90802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90802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90802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9080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9080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90802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0802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90802"/>
    <w:rPr>
      <w:rFonts w:eastAsiaTheme="majorEastAsia" w:cstheme="majorBidi"/>
      <w:color w:val="0F4761" w:themeColor="accent1" w:themeShade="BF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90802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90802"/>
    <w:rPr>
      <w:rFonts w:eastAsiaTheme="majorEastAsia" w:cstheme="majorBidi"/>
      <w:color w:val="595959" w:themeColor="text1" w:themeTint="A6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90802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90802"/>
    <w:rPr>
      <w:rFonts w:eastAsiaTheme="majorEastAsia" w:cstheme="majorBidi"/>
      <w:color w:val="272727" w:themeColor="text1" w:themeTint="D8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B90802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B9080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90802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90802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B90802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B90802"/>
    <w:rPr>
      <w:i/>
      <w:iCs/>
      <w:color w:val="404040" w:themeColor="text1" w:themeTint="BF"/>
      <w:lang w:val="en-US"/>
    </w:rPr>
  </w:style>
  <w:style w:type="paragraph" w:styleId="Listenabsatz">
    <w:name w:val="List Paragraph"/>
    <w:basedOn w:val="Standard"/>
    <w:uiPriority w:val="34"/>
    <w:qFormat/>
    <w:rsid w:val="00B90802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B9080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9080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90802"/>
    <w:rPr>
      <w:i/>
      <w:iCs/>
      <w:color w:val="0F4761" w:themeColor="accent1" w:themeShade="BF"/>
      <w:lang w:val="en-US"/>
    </w:rPr>
  </w:style>
  <w:style w:type="character" w:styleId="IntensiverVerweis">
    <w:name w:val="Intense Reference"/>
    <w:basedOn w:val="Absatz-Standardschriftart"/>
    <w:uiPriority w:val="32"/>
    <w:qFormat/>
    <w:rsid w:val="00B90802"/>
    <w:rPr>
      <w:b/>
      <w:bCs/>
      <w:smallCaps/>
      <w:color w:val="0F4761" w:themeColor="accent1" w:themeShade="BF"/>
      <w:spacing w:val="5"/>
    </w:rPr>
  </w:style>
  <w:style w:type="paragraph" w:styleId="Textkrper">
    <w:name w:val="Body Text"/>
    <w:basedOn w:val="Standard"/>
    <w:link w:val="TextkrperZchn"/>
    <w:uiPriority w:val="1"/>
    <w:qFormat/>
    <w:rsid w:val="00D54B40"/>
    <w:pPr>
      <w:spacing w:before="10"/>
      <w:ind w:left="333"/>
    </w:pPr>
    <w:rPr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1"/>
    <w:rsid w:val="00D54B40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D54B4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D54B40"/>
    <w:pPr>
      <w:spacing w:line="169" w:lineRule="exact"/>
      <w:jc w:val="center"/>
    </w:pPr>
  </w:style>
  <w:style w:type="paragraph" w:styleId="Kopfzeile">
    <w:name w:val="header"/>
    <w:basedOn w:val="Standard"/>
    <w:link w:val="KopfzeileZchn"/>
    <w:uiPriority w:val="99"/>
    <w:unhideWhenUsed/>
    <w:rsid w:val="00A21F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21FA7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A21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21FA7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473</Words>
  <Characters>2985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Hendrik Dapper</dc:creator>
  <cp:keywords/>
  <dc:description/>
  <cp:lastModifiedBy>Hendrik Dapper</cp:lastModifiedBy>
  <cp:revision>15</cp:revision>
  <dcterms:created xsi:type="dcterms:W3CDTF">2025-08-13T13:51:00Z</dcterms:created>
  <dcterms:modified xsi:type="dcterms:W3CDTF">2026-05-19T09:39:00Z</dcterms:modified>
</cp:coreProperties>
</file>