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B9C2" w14:textId="52C2FC45" w:rsidR="007B6D45" w:rsidRDefault="007B6D45" w:rsidP="007B6D45">
      <w:pPr>
        <w:pStyle w:val="Heading2"/>
        <w:keepNext w:val="0"/>
        <w:keepLines w:val="0"/>
        <w:spacing w:after="80"/>
        <w:rPr>
          <w:rFonts w:ascii="Times New Roman" w:hAnsi="Times New Roman" w:cs="Times New Roman"/>
          <w:b/>
          <w:bCs/>
          <w:sz w:val="20"/>
          <w:szCs w:val="20"/>
        </w:rPr>
      </w:pPr>
      <w:r w:rsidRPr="007B6D45">
        <w:rPr>
          <w:rFonts w:ascii="Times New Roman" w:hAnsi="Times New Roman" w:cs="Times New Roman"/>
          <w:b/>
          <w:bCs/>
          <w:sz w:val="20"/>
          <w:szCs w:val="20"/>
        </w:rPr>
        <w:t>Supplementary Table 1. Selected non-invasive diagnostic approaches referred to in this paper across the SLD continuum of care</w:t>
      </w:r>
    </w:p>
    <w:p w14:paraId="3CA9B266" w14:textId="77777777" w:rsidR="007B6D45" w:rsidRPr="007B6D45" w:rsidRDefault="007B6D45" w:rsidP="007B6D45"/>
    <w:tbl>
      <w:tblPr>
        <w:tblW w:w="12900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34"/>
        <w:gridCol w:w="1276"/>
        <w:gridCol w:w="1614"/>
        <w:gridCol w:w="1602"/>
        <w:gridCol w:w="2084"/>
        <w:gridCol w:w="2071"/>
        <w:gridCol w:w="1559"/>
        <w:gridCol w:w="1560"/>
      </w:tblGrid>
      <w:tr w:rsidR="007B6D45" w:rsidRPr="007B6D45" w14:paraId="1CECA301" w14:textId="77777777" w:rsidTr="007B6D45">
        <w:trPr>
          <w:trHeight w:val="645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81241" w14:textId="77777777" w:rsidR="007B6D45" w:rsidRPr="007B6D45" w:rsidRDefault="007B6D45" w:rsidP="007B6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Test / approach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612C17" w14:textId="77777777" w:rsidR="007B6D45" w:rsidRPr="007B6D45" w:rsidRDefault="007B6D45" w:rsidP="007B6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6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55E73" w14:textId="77777777" w:rsidR="007B6D45" w:rsidRPr="007B6D45" w:rsidRDefault="007B6D45" w:rsidP="007B6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Main components</w:t>
            </w:r>
          </w:p>
        </w:tc>
        <w:tc>
          <w:tcPr>
            <w:tcW w:w="1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5316D" w14:textId="77777777" w:rsidR="007B6D45" w:rsidRPr="007B6D45" w:rsidRDefault="007B6D45" w:rsidP="007B6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Intended population / setting</w:t>
            </w:r>
          </w:p>
        </w:tc>
        <w:tc>
          <w:tcPr>
            <w:tcW w:w="2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25FFA9" w14:textId="77777777" w:rsidR="007B6D45" w:rsidRPr="007B6D45" w:rsidRDefault="007B6D45" w:rsidP="007B6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 strengths</w:t>
            </w:r>
          </w:p>
        </w:tc>
        <w:tc>
          <w:tcPr>
            <w:tcW w:w="2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DC0CC" w14:textId="77777777" w:rsidR="007B6D45" w:rsidRPr="007B6D45" w:rsidRDefault="007B6D45" w:rsidP="007B6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Key limitations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A3A1C" w14:textId="77777777" w:rsidR="007B6D45" w:rsidRPr="007B6D45" w:rsidRDefault="007B6D45" w:rsidP="007B6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Role in care pathway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42282" w14:textId="77777777" w:rsidR="007B6D45" w:rsidRPr="007B6D45" w:rsidRDefault="007B6D45" w:rsidP="007B6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Level of clinical implementation</w:t>
            </w:r>
          </w:p>
        </w:tc>
      </w:tr>
      <w:tr w:rsidR="007B6D45" w:rsidRPr="007B6D45" w14:paraId="63E14F6F" w14:textId="77777777" w:rsidTr="007B6D45">
        <w:trPr>
          <w:trHeight w:val="169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625AB" w14:textId="77777777" w:rsidR="007B6D45" w:rsidRPr="007B6D45" w:rsidRDefault="007B6D45" w:rsidP="007B6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FIB-4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4FF5D3" w14:textId="7C2F2C1F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lood-based score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967E49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Age, AST, ALT, platelets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7A02B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MASLD, </w:t>
            </w:r>
            <w:proofErr w:type="spellStart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MetALD</w:t>
            </w:r>
            <w:proofErr w:type="spellEnd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, ALD, viral hepatitis; primary care and non-specialist settings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86FCE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Simple, low cost, widely available; easily automated within laboratory and EHR workflows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61809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Grey zone between thresholds; performance influenced by age and fibrosis prevalence; developed in higher-prevalence cohorts, limiting applicability in screening populations; age-adjusted thresholds required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05082E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First-line rule-out tool for advanced fibrosis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7B0AA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Routine guideline-supported clinical use </w:t>
            </w:r>
          </w:p>
        </w:tc>
      </w:tr>
      <w:tr w:rsidR="007B6D45" w:rsidRPr="007B6D45" w14:paraId="1BE39780" w14:textId="77777777" w:rsidTr="007B6D45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141E5" w14:textId="77777777" w:rsidR="007B6D45" w:rsidRPr="007B6D45" w:rsidRDefault="007B6D45" w:rsidP="007B6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NAFLD Fibrosis Score (NFS)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9CF9A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Blood-based score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DFF85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Age, BMI, glucose/diabetes, AST/ALT ratio, platelets, albumin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A04A1C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MASLD; primary care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8083C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Widely available; low cost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0CD93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Large indeterminate zone; reduced accuracy in younger individuals and those with obesity or T2D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8B49D5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First-line risk stratification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9C4A85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Routine clinical use</w:t>
            </w:r>
          </w:p>
        </w:tc>
      </w:tr>
      <w:tr w:rsidR="007B6D45" w:rsidRPr="007B6D45" w14:paraId="549CE49A" w14:textId="77777777" w:rsidTr="007B6D45">
        <w:trPr>
          <w:trHeight w:val="169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37D269" w14:textId="77777777" w:rsidR="007B6D45" w:rsidRPr="007B6D45" w:rsidRDefault="007B6D45" w:rsidP="007B6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ELF test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8FAF81" w14:textId="38FB136D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lood-based biomarker panel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CCBE5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HA, PIIINP, TIMP-1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36D67A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MASLD and ALD; secondary care and high-risk populations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EC855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Higher diagnostic accuracy than indirect scores; prognostic value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E83FB1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Cost; reimbursement limitations; laboratory availability; limited validation in low-risk populations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E048D5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Second-line fibrosis assessment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5703FF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Selective / specialist use (guideline-supported in MASLD)</w:t>
            </w:r>
          </w:p>
          <w:p w14:paraId="6E4127B3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D45" w:rsidRPr="007B6D45" w14:paraId="32CFF960" w14:textId="77777777" w:rsidTr="007B6D45">
        <w:trPr>
          <w:trHeight w:val="169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FADB69" w14:textId="77777777" w:rsidR="007B6D45" w:rsidRPr="007B6D45" w:rsidRDefault="007B6D45" w:rsidP="007B6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ADAPT score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C02177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Blood-based score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08F4B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PRO-C3 age, platelets, diabetes status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1631DF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MASLD and ALD; secondary care and high-risk populations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1B25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Direct assessment of active fibrogenesis; potential for dynamic risk stratification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219E7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Cost and reimbursement; availability still expanding (platform-dependent laboratory implementation); thresholds and pathways not yet </w:t>
            </w:r>
            <w:proofErr w:type="spellStart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standardised</w:t>
            </w:r>
            <w:proofErr w:type="spellEnd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 across settings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8AD59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Second-line fibrosis assessment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9F280A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Early implementation</w:t>
            </w:r>
          </w:p>
        </w:tc>
      </w:tr>
      <w:tr w:rsidR="007B6D45" w:rsidRPr="007B6D45" w14:paraId="5658F049" w14:textId="77777777" w:rsidTr="007B6D45">
        <w:trPr>
          <w:trHeight w:val="9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EA75F" w14:textId="77777777" w:rsidR="007B6D45" w:rsidRPr="007B6D45" w:rsidRDefault="007B6D45" w:rsidP="007B6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SAFE score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7DD00" w14:textId="1A351F92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lood-based score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361BA5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Age, sex, routine laboratory variables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F7031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MASLD; primary care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0FED2E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Improved negative predictive value compared with FIB-4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0ACE55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Derived in specific cohorts; limited external validation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A7DCD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First-line risk stratification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9031B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Early implementation</w:t>
            </w:r>
          </w:p>
        </w:tc>
      </w:tr>
      <w:tr w:rsidR="007B6D45" w:rsidRPr="007B6D45" w14:paraId="2D929191" w14:textId="77777777" w:rsidTr="007B6D45">
        <w:trPr>
          <w:trHeight w:val="189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06F351" w14:textId="77777777" w:rsidR="007B6D45" w:rsidRPr="007B6D45" w:rsidRDefault="007B6D45" w:rsidP="007B6D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MAF-5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1393F" w14:textId="04A85B7C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lood-based score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EE2962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T2D status, waist circumference, BMI, AST, platelets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B68C6A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MASLD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358311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Strong diagnostic and prognostic performance in external validations; good negative predictive value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204BC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Not yet incorporated into guidelines; requires further real-world implementation and </w:t>
            </w:r>
            <w:proofErr w:type="spellStart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standardised</w:t>
            </w:r>
            <w:proofErr w:type="spellEnd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 thresholds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C66CE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First-line risk stratification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0C3C1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Early implementation</w:t>
            </w:r>
          </w:p>
        </w:tc>
      </w:tr>
      <w:tr w:rsidR="007B6D45" w:rsidRPr="007B6D45" w14:paraId="39F56914" w14:textId="77777777" w:rsidTr="007B6D45">
        <w:trPr>
          <w:trHeight w:val="1891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721F8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LiverPRO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F0D12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Blood-based score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754D9F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Age and 9 to 3 routine blood tests, depending on availability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F9DAF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MASLD, </w:t>
            </w:r>
            <w:proofErr w:type="spellStart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MetALD</w:t>
            </w:r>
            <w:proofErr w:type="spellEnd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, ALD, primary care and community-based screening/case finding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C12302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Approved as medical device, automation in specific lab equipment, does not require a fixed set of blood test results, high sensitivity for ruling out significant fibrosis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8D4CD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Performance influenced by age, limited real-world implementation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8847A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First-line rule-out tool for significant and advanced fibrosis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BF2B84" w14:textId="77777777" w:rsidR="007B6D45" w:rsidRPr="007B6D45" w:rsidRDefault="007B6D45" w:rsidP="007B6D45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F52FB5" w14:textId="77777777" w:rsidR="007B6D45" w:rsidRPr="007B6D45" w:rsidRDefault="007B6D45" w:rsidP="007B6D45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Laboratories need specific platform for implementation</w:t>
            </w:r>
          </w:p>
          <w:p w14:paraId="5A341AE7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F8FC57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6D45" w:rsidRPr="007B6D45" w14:paraId="0E8C8AEF" w14:textId="77777777" w:rsidTr="007B6D45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CCE515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LiverRisk</w:t>
            </w:r>
            <w:proofErr w:type="spellEnd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 score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7D0EAD" w14:textId="70B80D6C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lood-based score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8D797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Demographic and routine laboratory variables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3A667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MASLD; general population cohorts 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F3A27E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Prognostic orientation; risk-based approach </w:t>
            </w:r>
            <w:proofErr w:type="spellStart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standardised</w:t>
            </w:r>
            <w:proofErr w:type="spellEnd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 against VCTE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DBD40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Limited real-world implementation; requires automation; not designed for fibrosis staging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42154B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Risk stratification / prognostic enrichment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37BE4D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Early implementation</w:t>
            </w:r>
          </w:p>
        </w:tc>
      </w:tr>
      <w:tr w:rsidR="007B6D45" w:rsidRPr="007B6D45" w14:paraId="614D6F2A" w14:textId="77777777" w:rsidTr="007B6D45">
        <w:trPr>
          <w:trHeight w:val="106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BAA926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VCTE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7E4BB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Imaging-based elastography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EB02D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Liver stiffness measurement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898AD0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MASLD, </w:t>
            </w:r>
            <w:proofErr w:type="spellStart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MetALD</w:t>
            </w:r>
            <w:proofErr w:type="spellEnd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, ALD; secondary care, community pilot settings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9F0695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Reproducible; prognostically validated; widely used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C64BC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Cost; operator dependence; influenced by body habitus; limited access in primary care.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15BA3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Second-line fibrosis staging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53FCC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Routine guideline-supported clinical use </w:t>
            </w:r>
          </w:p>
        </w:tc>
      </w:tr>
      <w:tr w:rsidR="007B6D45" w:rsidRPr="007B6D45" w14:paraId="0701AE1E" w14:textId="77777777" w:rsidTr="007B6D45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E9A56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MRE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3CDA7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Imaging-based elastography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D5559D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MRI-derived stiffness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2289F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MASLD; specialist and research settings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1D4BA2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Highest diagnostic accuracy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EB40AB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Cost; limited availability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CD084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Advanced fibrosis assessment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781D1C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Specialist/ research use</w:t>
            </w:r>
          </w:p>
        </w:tc>
      </w:tr>
      <w:tr w:rsidR="007B6D45" w:rsidRPr="007B6D45" w14:paraId="58A13838" w14:textId="77777777" w:rsidTr="007B6D45">
        <w:trPr>
          <w:trHeight w:val="85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15A6F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AI-enabled risk models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77549B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Digital / ML-based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F57095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Clinical, laboratory, imaging, demographic data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ECFFC4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Primary care and population health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CAA97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Scalable; automated case-finding potential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93907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Heterogeneity; regulatory and validation challenges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D70AB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Risk stratification support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859FE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Research / early implementation</w:t>
            </w:r>
          </w:p>
        </w:tc>
      </w:tr>
      <w:tr w:rsidR="007B6D45" w:rsidRPr="007B6D45" w14:paraId="5054ED99" w14:textId="77777777" w:rsidTr="007B6D45">
        <w:trPr>
          <w:trHeight w:val="645"/>
        </w:trPr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6991B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Omics-based biomarkers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C75B3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Molecular profiling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C4C83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Multi-</w:t>
            </w:r>
            <w:proofErr w:type="spellStart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omic</w:t>
            </w:r>
            <w:proofErr w:type="spellEnd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 signatures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B01A6E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MASLD; research cohorts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2A376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Mechanistic insight; precision risk stratification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5B3DF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High-cost; lack of </w:t>
            </w:r>
            <w:proofErr w:type="spellStart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standardisation</w:t>
            </w:r>
            <w:proofErr w:type="spellEnd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; limited validation; dependence on advanced analytical techniques </w:t>
            </w:r>
            <w:proofErr w:type="gramStart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e.g.</w:t>
            </w:r>
            <w:proofErr w:type="gramEnd"/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 LC-MS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8228DD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>Future risk stratification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665843" w14:textId="77777777" w:rsidR="007B6D45" w:rsidRPr="007B6D45" w:rsidRDefault="007B6D45" w:rsidP="007B6D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6D45">
              <w:rPr>
                <w:rFonts w:asciiTheme="minorHAnsi" w:hAnsiTheme="minorHAnsi" w:cstheme="minorHAnsi"/>
                <w:sz w:val="20"/>
                <w:szCs w:val="20"/>
              </w:rPr>
              <w:t xml:space="preserve">Research only </w:t>
            </w:r>
          </w:p>
        </w:tc>
      </w:tr>
    </w:tbl>
    <w:p w14:paraId="652BF45A" w14:textId="77777777" w:rsidR="007B6D45" w:rsidRPr="007F5F2D" w:rsidRDefault="007B6D45" w:rsidP="007B6D45">
      <w:pPr>
        <w:rPr>
          <w:rFonts w:asciiTheme="majorHAnsi" w:hAnsiTheme="majorHAnsi" w:cstheme="majorHAnsi"/>
          <w:b/>
          <w:bCs/>
        </w:rPr>
      </w:pPr>
    </w:p>
    <w:p w14:paraId="12E9FB47" w14:textId="1F598B91" w:rsidR="007B6D45" w:rsidRPr="007B6D45" w:rsidRDefault="007B6D45" w:rsidP="007B6D45">
      <w:pPr>
        <w:jc w:val="both"/>
        <w:rPr>
          <w:rFonts w:ascii="Times New Roman" w:hAnsi="Times New Roman" w:cs="Times New Roman"/>
          <w:sz w:val="20"/>
          <w:szCs w:val="20"/>
        </w:rPr>
      </w:pPr>
      <w:r w:rsidRPr="007B6D45">
        <w:rPr>
          <w:rFonts w:ascii="Times New Roman" w:hAnsi="Times New Roman" w:cs="Times New Roman"/>
          <w:sz w:val="20"/>
          <w:szCs w:val="20"/>
        </w:rPr>
        <w:t>Abbreviations: ALD, alcohol-associated liver disease; APRI, AST-to-Platelet Ratio Index; ALT, alanine aminotransferase; AST, aspartate aminotransferase; BMI, body mass index; ELF, Enhanced Liver Fibrosis; EHR, electronic health record; FIB-4, Fibrosis-4 index; HA, hyaluronic acid; LC-MS, liquid chromatography–mass spectrometry; ML, machine learning; MRE, magnetic resonance elastography; MRI, magnetic resonance imaging; NFS, NAFLD Fibrosis Score; NITs, non-invasive tests; PIIINP, Procollagen Type III N-terminal peptide; T2D, type 2 diabetes; TIMP-1, tissue inhibitor of metalloproteinases 1; VCTE, vibration-controlled transient elastography.</w:t>
      </w:r>
    </w:p>
    <w:sectPr w:rsidR="007B6D45" w:rsidRPr="007B6D45" w:rsidSect="007B6D45">
      <w:footerReference w:type="default" r:id="rId6"/>
      <w:pgSz w:w="15840" w:h="12240" w:orient="landscape"/>
      <w:pgMar w:top="113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B3BC" w14:textId="77777777" w:rsidR="000D0DA4" w:rsidRDefault="000D0DA4" w:rsidP="007B6D45">
      <w:pPr>
        <w:spacing w:line="240" w:lineRule="auto"/>
      </w:pPr>
      <w:r>
        <w:separator/>
      </w:r>
    </w:p>
  </w:endnote>
  <w:endnote w:type="continuationSeparator" w:id="0">
    <w:p w14:paraId="126BDA00" w14:textId="77777777" w:rsidR="000D0DA4" w:rsidRDefault="000D0DA4" w:rsidP="007B6D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39730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C364469" w14:textId="53C76E22" w:rsidR="007B6D45" w:rsidRPr="007B6D45" w:rsidRDefault="007B6D45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B6D4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B6D4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7B6D4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B6D4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B6D4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627CEF16" w14:textId="77777777" w:rsidR="007B6D45" w:rsidRPr="007B6D45" w:rsidRDefault="007B6D45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927EF" w14:textId="77777777" w:rsidR="000D0DA4" w:rsidRDefault="000D0DA4" w:rsidP="007B6D45">
      <w:pPr>
        <w:spacing w:line="240" w:lineRule="auto"/>
      </w:pPr>
      <w:r>
        <w:separator/>
      </w:r>
    </w:p>
  </w:footnote>
  <w:footnote w:type="continuationSeparator" w:id="0">
    <w:p w14:paraId="210B9689" w14:textId="77777777" w:rsidR="000D0DA4" w:rsidRDefault="000D0DA4" w:rsidP="007B6D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D45"/>
    <w:rsid w:val="000D0DA4"/>
    <w:rsid w:val="007B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06A1"/>
  <w15:chartTrackingRefBased/>
  <w15:docId w15:val="{6C02D5B2-DB88-4FB2-8813-CFA6182E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D45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D45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6D45"/>
    <w:rPr>
      <w:rFonts w:ascii="Arial" w:eastAsia="Arial" w:hAnsi="Arial" w:cs="Arial"/>
      <w:sz w:val="32"/>
      <w:szCs w:val="32"/>
      <w:lang w:val="en" w:eastAsia="es-ES"/>
    </w:rPr>
  </w:style>
  <w:style w:type="paragraph" w:styleId="Header">
    <w:name w:val="header"/>
    <w:basedOn w:val="Normal"/>
    <w:link w:val="HeaderChar"/>
    <w:uiPriority w:val="99"/>
    <w:unhideWhenUsed/>
    <w:rsid w:val="007B6D45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D45"/>
    <w:rPr>
      <w:rFonts w:ascii="Arial" w:eastAsia="Arial" w:hAnsi="Arial" w:cs="Arial"/>
      <w:lang w:val="en" w:eastAsia="es-ES"/>
    </w:rPr>
  </w:style>
  <w:style w:type="paragraph" w:styleId="Footer">
    <w:name w:val="footer"/>
    <w:basedOn w:val="Normal"/>
    <w:link w:val="FooterChar"/>
    <w:uiPriority w:val="99"/>
    <w:unhideWhenUsed/>
    <w:rsid w:val="007B6D45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D45"/>
    <w:rPr>
      <w:rFonts w:ascii="Arial" w:eastAsia="Arial" w:hAnsi="Arial" w:cs="Arial"/>
      <w:lang w:val="en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763</Words>
  <Characters>4353</Characters>
  <Application>Microsoft Office Word</Application>
  <DocSecurity>0</DocSecurity>
  <Lines>36</Lines>
  <Paragraphs>10</Paragraphs>
  <ScaleCrop>false</ScaleCrop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White</dc:creator>
  <cp:keywords/>
  <dc:description/>
  <cp:lastModifiedBy>Trenton White</cp:lastModifiedBy>
  <cp:revision>1</cp:revision>
  <dcterms:created xsi:type="dcterms:W3CDTF">2026-04-09T07:56:00Z</dcterms:created>
  <dcterms:modified xsi:type="dcterms:W3CDTF">2026-04-09T08:04:00Z</dcterms:modified>
</cp:coreProperties>
</file>