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F8DAD" w14:textId="1F045329" w:rsidR="00DD74BC" w:rsidRPr="008D2DBA" w:rsidRDefault="00DD74BC" w:rsidP="00DD74BC">
      <w:pPr>
        <w:jc w:val="center"/>
        <w:rPr>
          <w:rFonts w:cstheme="minorHAnsi"/>
          <w:b/>
          <w:bCs/>
          <w:sz w:val="28"/>
          <w:szCs w:val="28"/>
        </w:rPr>
      </w:pPr>
      <w:r w:rsidRPr="008D2DBA">
        <w:rPr>
          <w:rFonts w:cstheme="minorHAnsi"/>
          <w:b/>
          <w:bCs/>
          <w:sz w:val="28"/>
          <w:szCs w:val="28"/>
        </w:rPr>
        <w:t>Supplemen</w:t>
      </w:r>
      <w:r w:rsidR="00971D78" w:rsidRPr="008D2DBA">
        <w:rPr>
          <w:rFonts w:cstheme="minorHAnsi"/>
          <w:b/>
          <w:bCs/>
          <w:sz w:val="28"/>
          <w:szCs w:val="28"/>
        </w:rPr>
        <w:t>t</w:t>
      </w:r>
    </w:p>
    <w:p w14:paraId="7F39815C" w14:textId="0B41CDD8" w:rsidR="002C7382" w:rsidRPr="008D2DBA" w:rsidRDefault="002C7382" w:rsidP="002C7382">
      <w:pPr>
        <w:jc w:val="both"/>
        <w:rPr>
          <w:rFonts w:cstheme="minorHAnsi"/>
          <w:b/>
          <w:bCs/>
          <w:sz w:val="28"/>
          <w:szCs w:val="28"/>
        </w:rPr>
      </w:pPr>
      <w:r w:rsidRPr="008D2DBA">
        <w:rPr>
          <w:rFonts w:cstheme="minorHAnsi"/>
          <w:b/>
          <w:bCs/>
          <w:sz w:val="28"/>
          <w:szCs w:val="28"/>
        </w:rPr>
        <w:t xml:space="preserve">Bacterial </w:t>
      </w:r>
      <w:r w:rsidR="00D956EA" w:rsidRPr="008D2DBA">
        <w:rPr>
          <w:rFonts w:cstheme="minorHAnsi"/>
          <w:b/>
          <w:bCs/>
          <w:sz w:val="28"/>
          <w:szCs w:val="28"/>
        </w:rPr>
        <w:t xml:space="preserve">extracellular vesicles </w:t>
      </w:r>
      <w:r w:rsidR="00DA4A3C" w:rsidRPr="00DA4A3C">
        <w:rPr>
          <w:rFonts w:cstheme="minorHAnsi"/>
          <w:b/>
          <w:bCs/>
          <w:color w:val="4472C4" w:themeColor="accent1"/>
          <w:sz w:val="28"/>
          <w:szCs w:val="28"/>
        </w:rPr>
        <w:t>modulate</w:t>
      </w:r>
      <w:r w:rsidR="00D956EA" w:rsidRPr="00DA4A3C">
        <w:rPr>
          <w:rFonts w:cstheme="minorHAnsi"/>
          <w:b/>
          <w:bCs/>
          <w:color w:val="4472C4" w:themeColor="accent1"/>
          <w:sz w:val="28"/>
          <w:szCs w:val="28"/>
        </w:rPr>
        <w:t xml:space="preserve"> </w:t>
      </w:r>
      <w:r w:rsidR="00D956EA" w:rsidRPr="008D2DBA">
        <w:rPr>
          <w:rFonts w:cstheme="minorHAnsi"/>
          <w:b/>
          <w:bCs/>
          <w:sz w:val="28"/>
          <w:szCs w:val="28"/>
        </w:rPr>
        <w:t xml:space="preserve">epithelial </w:t>
      </w:r>
      <w:r w:rsidR="00DA4A3C" w:rsidRPr="00DA4A3C">
        <w:rPr>
          <w:rFonts w:cstheme="minorHAnsi"/>
          <w:b/>
          <w:bCs/>
          <w:color w:val="4472C4" w:themeColor="accent1"/>
          <w:sz w:val="28"/>
          <w:szCs w:val="28"/>
        </w:rPr>
        <w:t xml:space="preserve">antiviral responses </w:t>
      </w:r>
      <w:r w:rsidR="00D956EA" w:rsidRPr="008D2DBA">
        <w:rPr>
          <w:rFonts w:cstheme="minorHAnsi"/>
          <w:b/>
          <w:bCs/>
          <w:sz w:val="28"/>
          <w:szCs w:val="28"/>
        </w:rPr>
        <w:t>via macrophage-mediated immunomodulation</w:t>
      </w:r>
    </w:p>
    <w:p w14:paraId="63312638" w14:textId="77777777" w:rsidR="00D06279" w:rsidRPr="008D2DBA" w:rsidRDefault="00D06279" w:rsidP="00DD74BC">
      <w:pPr>
        <w:jc w:val="both"/>
        <w:rPr>
          <w:b/>
          <w:bCs/>
          <w:sz w:val="24"/>
          <w:szCs w:val="24"/>
        </w:rPr>
      </w:pPr>
    </w:p>
    <w:p w14:paraId="704FFB86" w14:textId="12CE07AA" w:rsidR="00AE2EE5" w:rsidRPr="008D2DBA" w:rsidRDefault="00AE2EE5" w:rsidP="00DD74BC">
      <w:pPr>
        <w:jc w:val="both"/>
        <w:rPr>
          <w:b/>
          <w:bCs/>
          <w:sz w:val="24"/>
          <w:szCs w:val="24"/>
        </w:rPr>
      </w:pPr>
      <w:r w:rsidRPr="008D2DBA">
        <w:rPr>
          <w:b/>
          <w:bCs/>
          <w:sz w:val="24"/>
          <w:szCs w:val="24"/>
        </w:rPr>
        <w:t>Supplementary Figure 1</w:t>
      </w:r>
    </w:p>
    <w:p w14:paraId="0508CDBE" w14:textId="5AAF89D7" w:rsidR="00AE2EE5" w:rsidRPr="008D2DBA" w:rsidRDefault="00AE2EE5" w:rsidP="00DD74BC">
      <w:pPr>
        <w:jc w:val="both"/>
        <w:rPr>
          <w:b/>
          <w:bCs/>
          <w:sz w:val="24"/>
          <w:szCs w:val="24"/>
        </w:rPr>
      </w:pPr>
      <w:r w:rsidRPr="008D2DBA">
        <w:rPr>
          <w:noProof/>
        </w:rPr>
        <w:drawing>
          <wp:inline distT="0" distB="0" distL="0" distR="0" wp14:anchorId="1B499EF8" wp14:editId="278CAC02">
            <wp:extent cx="5731510" cy="2794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794000"/>
                    </a:xfrm>
                    <a:prstGeom prst="rect">
                      <a:avLst/>
                    </a:prstGeom>
                    <a:noFill/>
                    <a:ln>
                      <a:noFill/>
                    </a:ln>
                  </pic:spPr>
                </pic:pic>
              </a:graphicData>
            </a:graphic>
          </wp:inline>
        </w:drawing>
      </w:r>
    </w:p>
    <w:p w14:paraId="0B7A4A2E" w14:textId="63723DAF" w:rsidR="00AE2EE5" w:rsidRPr="008D2DBA" w:rsidRDefault="00AE2EE5" w:rsidP="00AE2EE5">
      <w:pPr>
        <w:spacing w:before="100" w:beforeAutospacing="1" w:after="100" w:afterAutospacing="1" w:line="240" w:lineRule="auto"/>
        <w:jc w:val="both"/>
        <w:outlineLvl w:val="2"/>
        <w:rPr>
          <w:rFonts w:cstheme="minorHAnsi"/>
        </w:rPr>
      </w:pPr>
      <w:r w:rsidRPr="008D2DBA">
        <w:rPr>
          <w:rFonts w:cstheme="minorHAnsi"/>
          <w:b/>
          <w:bCs/>
          <w:u w:val="single"/>
        </w:rPr>
        <w:t xml:space="preserve">Supplementary Figure 1: </w:t>
      </w:r>
      <w:r w:rsidRPr="008D2DBA">
        <w:rPr>
          <w:rFonts w:cstheme="minorHAnsi"/>
          <w:b/>
          <w:bCs/>
        </w:rPr>
        <w:t xml:space="preserve">Growth curves of bacterial strains used for bEV isolation. </w:t>
      </w:r>
      <w:r w:rsidRPr="008D2DBA">
        <w:rPr>
          <w:rFonts w:cstheme="minorHAnsi"/>
        </w:rPr>
        <w:t xml:space="preserve">Bacterial growth curves of </w:t>
      </w:r>
      <w:r w:rsidRPr="008D2DBA">
        <w:rPr>
          <w:rFonts w:cstheme="minorHAnsi"/>
          <w:i/>
          <w:iCs/>
        </w:rPr>
        <w:t>Legionella pneumophila</w:t>
      </w:r>
      <w:r w:rsidRPr="008D2DBA">
        <w:rPr>
          <w:rFonts w:cstheme="minorHAnsi"/>
        </w:rPr>
        <w:t xml:space="preserve"> (</w:t>
      </w:r>
      <w:r w:rsidRPr="008D2DBA">
        <w:rPr>
          <w:rFonts w:cstheme="minorHAnsi"/>
          <w:i/>
          <w:iCs/>
        </w:rPr>
        <w:t>Lp</w:t>
      </w:r>
      <w:r w:rsidRPr="008D2DBA">
        <w:rPr>
          <w:rFonts w:cstheme="minorHAnsi"/>
        </w:rPr>
        <w:t xml:space="preserve">), </w:t>
      </w:r>
      <w:r w:rsidRPr="008D2DBA">
        <w:rPr>
          <w:rFonts w:cstheme="minorHAnsi"/>
          <w:i/>
          <w:iCs/>
        </w:rPr>
        <w:t>Klebsiella</w:t>
      </w:r>
      <w:r w:rsidRPr="008D2DBA">
        <w:rPr>
          <w:rFonts w:cstheme="minorHAnsi"/>
        </w:rPr>
        <w:t xml:space="preserve"> </w:t>
      </w:r>
      <w:r w:rsidRPr="008D2DBA">
        <w:rPr>
          <w:rFonts w:cstheme="minorHAnsi"/>
          <w:i/>
          <w:iCs/>
        </w:rPr>
        <w:t>pneumoniae</w:t>
      </w:r>
      <w:r w:rsidRPr="008D2DBA">
        <w:rPr>
          <w:rFonts w:cstheme="minorHAnsi"/>
        </w:rPr>
        <w:t xml:space="preserve"> (</w:t>
      </w:r>
      <w:r w:rsidRPr="008D2DBA">
        <w:rPr>
          <w:rFonts w:cstheme="minorHAnsi"/>
          <w:i/>
          <w:iCs/>
        </w:rPr>
        <w:t>Kp</w:t>
      </w:r>
      <w:r w:rsidRPr="008D2DBA">
        <w:rPr>
          <w:rFonts w:cstheme="minorHAnsi"/>
        </w:rPr>
        <w:t xml:space="preserve">), </w:t>
      </w:r>
      <w:r w:rsidRPr="008D2DBA">
        <w:rPr>
          <w:rFonts w:cstheme="minorHAnsi"/>
          <w:i/>
          <w:iCs/>
        </w:rPr>
        <w:t>Escherichia</w:t>
      </w:r>
      <w:r w:rsidRPr="008D2DBA">
        <w:rPr>
          <w:rFonts w:cstheme="minorHAnsi"/>
        </w:rPr>
        <w:t xml:space="preserve"> </w:t>
      </w:r>
      <w:r w:rsidRPr="008D2DBA">
        <w:rPr>
          <w:rFonts w:cstheme="minorHAnsi"/>
          <w:i/>
          <w:iCs/>
        </w:rPr>
        <w:t>coli</w:t>
      </w:r>
      <w:r w:rsidRPr="008D2DBA">
        <w:rPr>
          <w:rFonts w:cstheme="minorHAnsi"/>
        </w:rPr>
        <w:t xml:space="preserve"> (</w:t>
      </w:r>
      <w:r w:rsidRPr="008D2DBA">
        <w:rPr>
          <w:rFonts w:cstheme="minorHAnsi"/>
          <w:i/>
          <w:iCs/>
        </w:rPr>
        <w:t>Ec</w:t>
      </w:r>
      <w:r w:rsidRPr="008D2DBA">
        <w:rPr>
          <w:rFonts w:cstheme="minorHAnsi"/>
        </w:rPr>
        <w:t xml:space="preserve">), </w:t>
      </w:r>
      <w:r w:rsidRPr="008D2DBA">
        <w:rPr>
          <w:rFonts w:cstheme="minorHAnsi"/>
          <w:i/>
          <w:iCs/>
        </w:rPr>
        <w:t>Salmonella</w:t>
      </w:r>
      <w:r w:rsidRPr="008D2DBA">
        <w:rPr>
          <w:rFonts w:cstheme="minorHAnsi"/>
        </w:rPr>
        <w:t xml:space="preserve"> </w:t>
      </w:r>
      <w:r w:rsidRPr="008D2DBA">
        <w:rPr>
          <w:rFonts w:cstheme="minorHAnsi"/>
          <w:i/>
          <w:iCs/>
        </w:rPr>
        <w:t>enterica</w:t>
      </w:r>
      <w:r w:rsidRPr="008D2DBA">
        <w:rPr>
          <w:rFonts w:cstheme="minorHAnsi"/>
        </w:rPr>
        <w:t xml:space="preserve"> serovar Typhimurium (</w:t>
      </w:r>
      <w:r w:rsidRPr="008D2DBA">
        <w:rPr>
          <w:rFonts w:cstheme="minorHAnsi"/>
          <w:i/>
          <w:iCs/>
        </w:rPr>
        <w:t>Sal</w:t>
      </w:r>
      <w:r w:rsidRPr="008D2DBA">
        <w:rPr>
          <w:rFonts w:cstheme="minorHAnsi"/>
        </w:rPr>
        <w:t xml:space="preserve">), and </w:t>
      </w:r>
      <w:r w:rsidRPr="008D2DBA">
        <w:rPr>
          <w:rFonts w:cstheme="minorHAnsi"/>
          <w:i/>
          <w:iCs/>
        </w:rPr>
        <w:t>Streptococcus</w:t>
      </w:r>
      <w:r w:rsidRPr="008D2DBA">
        <w:rPr>
          <w:rFonts w:cstheme="minorHAnsi"/>
        </w:rPr>
        <w:t xml:space="preserve"> </w:t>
      </w:r>
      <w:r w:rsidRPr="008D2DBA">
        <w:rPr>
          <w:rFonts w:cstheme="minorHAnsi"/>
          <w:i/>
          <w:iCs/>
        </w:rPr>
        <w:t>pneumoniae</w:t>
      </w:r>
      <w:r w:rsidRPr="008D2DBA">
        <w:rPr>
          <w:rFonts w:cstheme="minorHAnsi"/>
        </w:rPr>
        <w:t xml:space="preserve"> (</w:t>
      </w:r>
      <w:r w:rsidRPr="008D2DBA">
        <w:rPr>
          <w:rFonts w:cstheme="minorHAnsi"/>
          <w:i/>
          <w:iCs/>
        </w:rPr>
        <w:t>Sp</w:t>
      </w:r>
      <w:r w:rsidRPr="008D2DBA">
        <w:rPr>
          <w:rFonts w:cstheme="minorHAnsi"/>
        </w:rPr>
        <w:t>) under species-specific culture conditions used for bEV production. Optical density (OD) at 600 nm was measured over time to monitor bacterial growth. Dashed lines indicate the time points at which cultures were harvested for bEV isolation. Sampling time points were adjusted for each bacterial species to ensure comparable growth phases at the time of vesicle collection. Data represent mean ± SEM of three biological replicate.</w:t>
      </w:r>
    </w:p>
    <w:p w14:paraId="1B47D107" w14:textId="77777777" w:rsidR="00AE2EE5" w:rsidRPr="008D2DBA" w:rsidRDefault="00AE2EE5" w:rsidP="00DD74BC">
      <w:pPr>
        <w:jc w:val="both"/>
        <w:rPr>
          <w:b/>
          <w:bCs/>
          <w:sz w:val="24"/>
          <w:szCs w:val="24"/>
          <w:lang w:val="en-GB"/>
        </w:rPr>
      </w:pPr>
    </w:p>
    <w:p w14:paraId="47456916" w14:textId="77777777" w:rsidR="00AE2EE5" w:rsidRPr="008D2DBA" w:rsidRDefault="00AE2EE5">
      <w:pPr>
        <w:rPr>
          <w:b/>
          <w:bCs/>
          <w:sz w:val="24"/>
          <w:szCs w:val="24"/>
        </w:rPr>
      </w:pPr>
      <w:r w:rsidRPr="008D2DBA">
        <w:rPr>
          <w:b/>
          <w:bCs/>
          <w:sz w:val="24"/>
          <w:szCs w:val="24"/>
        </w:rPr>
        <w:br w:type="page"/>
      </w:r>
    </w:p>
    <w:p w14:paraId="71972913" w14:textId="6249E0E4" w:rsidR="00DD74BC" w:rsidRPr="008D2DBA" w:rsidRDefault="00DD74BC" w:rsidP="00DD74BC">
      <w:pPr>
        <w:jc w:val="both"/>
        <w:rPr>
          <w:b/>
          <w:bCs/>
          <w:sz w:val="24"/>
          <w:szCs w:val="24"/>
        </w:rPr>
      </w:pPr>
      <w:r w:rsidRPr="008D2DBA">
        <w:rPr>
          <w:b/>
          <w:bCs/>
          <w:sz w:val="24"/>
          <w:szCs w:val="24"/>
        </w:rPr>
        <w:lastRenderedPageBreak/>
        <w:t>Supplementa</w:t>
      </w:r>
      <w:r w:rsidR="00971D78" w:rsidRPr="008D2DBA">
        <w:rPr>
          <w:b/>
          <w:bCs/>
          <w:sz w:val="24"/>
          <w:szCs w:val="24"/>
        </w:rPr>
        <w:t>ry</w:t>
      </w:r>
      <w:r w:rsidRPr="008D2DBA">
        <w:rPr>
          <w:b/>
          <w:bCs/>
          <w:sz w:val="24"/>
          <w:szCs w:val="24"/>
        </w:rPr>
        <w:t xml:space="preserve"> Figure </w:t>
      </w:r>
      <w:r w:rsidR="00AE2EE5" w:rsidRPr="008D2DBA">
        <w:rPr>
          <w:b/>
          <w:bCs/>
          <w:sz w:val="24"/>
          <w:szCs w:val="24"/>
        </w:rPr>
        <w:t>2</w:t>
      </w:r>
    </w:p>
    <w:p w14:paraId="0255D9F6" w14:textId="75F4A240" w:rsidR="00971D78" w:rsidRPr="008D2DBA" w:rsidRDefault="00200D77" w:rsidP="00971D78">
      <w:pPr>
        <w:jc w:val="center"/>
        <w:rPr>
          <w:b/>
          <w:bCs/>
          <w:sz w:val="24"/>
          <w:szCs w:val="24"/>
        </w:rPr>
      </w:pPr>
      <w:r w:rsidRPr="008D2DBA">
        <w:rPr>
          <w:noProof/>
        </w:rPr>
        <w:drawing>
          <wp:inline distT="0" distB="0" distL="0" distR="0" wp14:anchorId="4D9E1136" wp14:editId="0C14D5B3">
            <wp:extent cx="5731510" cy="624332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6243320"/>
                    </a:xfrm>
                    <a:prstGeom prst="rect">
                      <a:avLst/>
                    </a:prstGeom>
                    <a:noFill/>
                    <a:ln>
                      <a:noFill/>
                    </a:ln>
                  </pic:spPr>
                </pic:pic>
              </a:graphicData>
            </a:graphic>
          </wp:inline>
        </w:drawing>
      </w:r>
    </w:p>
    <w:p w14:paraId="044CD211" w14:textId="3C8A6742" w:rsidR="00470EE4" w:rsidRPr="008D2DBA" w:rsidRDefault="00470EE4" w:rsidP="00DD74BC">
      <w:pPr>
        <w:jc w:val="both"/>
      </w:pPr>
    </w:p>
    <w:p w14:paraId="50ECE1E4" w14:textId="2F53EBFE" w:rsidR="00DD74BC" w:rsidRPr="008D2DBA" w:rsidRDefault="00971D78" w:rsidP="00D956EA">
      <w:pPr>
        <w:spacing w:after="0"/>
        <w:jc w:val="both"/>
        <w:rPr>
          <w:b/>
          <w:bCs/>
        </w:rPr>
      </w:pPr>
      <w:bookmarkStart w:id="0" w:name="OLE_LINK1"/>
      <w:r w:rsidRPr="008D2DBA">
        <w:rPr>
          <w:rFonts w:cstheme="minorHAnsi"/>
          <w:b/>
          <w:bCs/>
          <w:u w:val="single"/>
        </w:rPr>
        <w:t xml:space="preserve">Supplementary Figure </w:t>
      </w:r>
      <w:r w:rsidR="00AE2EE5" w:rsidRPr="008D2DBA">
        <w:rPr>
          <w:rFonts w:cstheme="minorHAnsi"/>
          <w:b/>
          <w:bCs/>
          <w:u w:val="single"/>
        </w:rPr>
        <w:t>2</w:t>
      </w:r>
      <w:r w:rsidRPr="008D2DBA">
        <w:rPr>
          <w:rFonts w:cstheme="minorHAnsi"/>
          <w:b/>
          <w:bCs/>
        </w:rPr>
        <w:t xml:space="preserve">: </w:t>
      </w:r>
      <w:r w:rsidR="008265ED" w:rsidRPr="008D2DBA">
        <w:rPr>
          <w:b/>
          <w:bCs/>
        </w:rPr>
        <w:t>NanoFCM characterization of bacterial extracellular vesicle preparations</w:t>
      </w:r>
      <w:r w:rsidRPr="008D2DBA">
        <w:rPr>
          <w:rFonts w:cstheme="minorHAnsi"/>
          <w:b/>
          <w:bCs/>
        </w:rPr>
        <w:t>.</w:t>
      </w:r>
      <w:r w:rsidRPr="008D2DBA">
        <w:rPr>
          <w:rFonts w:cstheme="minorHAnsi"/>
        </w:rPr>
        <w:t xml:space="preserve"> </w:t>
      </w:r>
      <w:r w:rsidR="00200D77" w:rsidRPr="008D2DBA">
        <w:rPr>
          <w:rFonts w:cstheme="minorHAnsi"/>
        </w:rPr>
        <w:t xml:space="preserve">Bacterial extracellular vesicles were prepared from </w:t>
      </w:r>
      <w:r w:rsidR="00200D77" w:rsidRPr="008D2DBA">
        <w:rPr>
          <w:rFonts w:cstheme="minorHAnsi"/>
          <w:i/>
        </w:rPr>
        <w:t>Legionella pneumophila</w:t>
      </w:r>
      <w:r w:rsidR="00200D77" w:rsidRPr="008D2DBA">
        <w:rPr>
          <w:rFonts w:cstheme="minorHAnsi"/>
        </w:rPr>
        <w:t xml:space="preserve"> (bEV</w:t>
      </w:r>
      <w:r w:rsidR="00200D77" w:rsidRPr="008D2DBA">
        <w:rPr>
          <w:rFonts w:cstheme="minorHAnsi"/>
          <w:i/>
          <w:vertAlign w:val="subscript"/>
        </w:rPr>
        <w:t>Lp</w:t>
      </w:r>
      <w:r w:rsidR="00200D77" w:rsidRPr="008D2DBA">
        <w:rPr>
          <w:rFonts w:cstheme="minorHAnsi"/>
        </w:rPr>
        <w:t xml:space="preserve">), </w:t>
      </w:r>
      <w:r w:rsidR="00200D77" w:rsidRPr="008D2DBA">
        <w:rPr>
          <w:rFonts w:cstheme="minorHAnsi"/>
          <w:i/>
        </w:rPr>
        <w:t>Klebsiella pneumoniae</w:t>
      </w:r>
      <w:r w:rsidR="00200D77" w:rsidRPr="008D2DBA">
        <w:rPr>
          <w:rFonts w:cstheme="minorHAnsi"/>
        </w:rPr>
        <w:t xml:space="preserve"> (bEV</w:t>
      </w:r>
      <w:r w:rsidR="00200D77" w:rsidRPr="008D2DBA">
        <w:rPr>
          <w:rFonts w:cstheme="minorHAnsi"/>
          <w:i/>
          <w:vertAlign w:val="subscript"/>
        </w:rPr>
        <w:t>Kp</w:t>
      </w:r>
      <w:r w:rsidR="00200D77" w:rsidRPr="008D2DBA">
        <w:rPr>
          <w:rFonts w:cstheme="minorHAnsi"/>
        </w:rPr>
        <w:t xml:space="preserve">), </w:t>
      </w:r>
      <w:r w:rsidR="00200D77" w:rsidRPr="008D2DBA">
        <w:rPr>
          <w:rFonts w:cstheme="minorHAnsi"/>
          <w:i/>
        </w:rPr>
        <w:t>Escherichia coli</w:t>
      </w:r>
      <w:r w:rsidR="00200D77" w:rsidRPr="008D2DBA">
        <w:rPr>
          <w:rFonts w:cstheme="minorHAnsi"/>
        </w:rPr>
        <w:t xml:space="preserve"> (bEV</w:t>
      </w:r>
      <w:r w:rsidR="00200D77" w:rsidRPr="008D2DBA">
        <w:rPr>
          <w:rFonts w:cstheme="minorHAnsi"/>
          <w:i/>
          <w:vertAlign w:val="subscript"/>
        </w:rPr>
        <w:t>Ec</w:t>
      </w:r>
      <w:r w:rsidR="00200D77" w:rsidRPr="008D2DBA">
        <w:rPr>
          <w:rFonts w:cstheme="minorHAnsi"/>
        </w:rPr>
        <w:t xml:space="preserve">), </w:t>
      </w:r>
      <w:r w:rsidR="00200D77" w:rsidRPr="008D2DBA">
        <w:rPr>
          <w:rFonts w:cstheme="minorHAnsi"/>
          <w:i/>
        </w:rPr>
        <w:t xml:space="preserve">Salmonella </w:t>
      </w:r>
      <w:r w:rsidR="00200D77" w:rsidRPr="008D2DBA">
        <w:rPr>
          <w:rFonts w:cstheme="minorHAnsi"/>
          <w:iCs/>
        </w:rPr>
        <w:t>Typhimurium</w:t>
      </w:r>
      <w:r w:rsidR="00200D77" w:rsidRPr="008D2DBA">
        <w:rPr>
          <w:rFonts w:cstheme="minorHAnsi"/>
        </w:rPr>
        <w:t xml:space="preserve"> (bEV</w:t>
      </w:r>
      <w:r w:rsidR="00200D77" w:rsidRPr="008D2DBA">
        <w:rPr>
          <w:rFonts w:cstheme="minorHAnsi"/>
          <w:i/>
          <w:vertAlign w:val="subscript"/>
        </w:rPr>
        <w:t>Sal</w:t>
      </w:r>
      <w:r w:rsidR="00200D77" w:rsidRPr="008D2DBA">
        <w:rPr>
          <w:rFonts w:cstheme="minorHAnsi"/>
        </w:rPr>
        <w:t xml:space="preserve">) and </w:t>
      </w:r>
      <w:r w:rsidR="00200D77" w:rsidRPr="008D2DBA">
        <w:rPr>
          <w:rFonts w:cstheme="minorHAnsi"/>
          <w:i/>
        </w:rPr>
        <w:t>Streptococcus pneumoniae</w:t>
      </w:r>
      <w:r w:rsidR="00200D77" w:rsidRPr="008D2DBA">
        <w:rPr>
          <w:rFonts w:cstheme="minorHAnsi"/>
        </w:rPr>
        <w:t xml:space="preserve"> (bEV</w:t>
      </w:r>
      <w:r w:rsidR="00200D77" w:rsidRPr="008D2DBA">
        <w:rPr>
          <w:rFonts w:cstheme="minorHAnsi"/>
          <w:i/>
          <w:vertAlign w:val="subscript"/>
        </w:rPr>
        <w:t>Sp</w:t>
      </w:r>
      <w:r w:rsidR="00200D77" w:rsidRPr="008D2DBA">
        <w:rPr>
          <w:rFonts w:cstheme="minorHAnsi"/>
        </w:rPr>
        <w:t xml:space="preserve">). </w:t>
      </w:r>
      <w:r w:rsidRPr="008D2DBA">
        <w:rPr>
          <w:rFonts w:cstheme="minorHAnsi"/>
        </w:rPr>
        <w:t xml:space="preserve">(A) </w:t>
      </w:r>
      <w:r w:rsidR="008265ED" w:rsidRPr="008D2DBA">
        <w:rPr>
          <w:rFonts w:cstheme="minorHAnsi"/>
        </w:rPr>
        <w:t xml:space="preserve">NanoFCM size </w:t>
      </w:r>
      <w:r w:rsidRPr="008D2DBA">
        <w:rPr>
          <w:rFonts w:cstheme="minorHAnsi"/>
        </w:rPr>
        <w:t xml:space="preserve">distribution </w:t>
      </w:r>
      <w:r w:rsidR="00607CED" w:rsidRPr="008D2DBA">
        <w:rPr>
          <w:rFonts w:cstheme="minorHAnsi"/>
        </w:rPr>
        <w:t xml:space="preserve">profiles of bEV preparations </w:t>
      </w:r>
      <w:r w:rsidR="008265ED" w:rsidRPr="008D2DBA">
        <w:rPr>
          <w:rFonts w:cstheme="minorHAnsi"/>
        </w:rPr>
        <w:t>derived from 2-4 independent biological replicates. Curves represent mean values and error bars indicate ±SEM.</w:t>
      </w:r>
      <w:r w:rsidRPr="008D2DBA">
        <w:rPr>
          <w:rFonts w:cstheme="minorHAnsi"/>
        </w:rPr>
        <w:t xml:space="preserve"> </w:t>
      </w:r>
      <w:r w:rsidR="008265ED" w:rsidRPr="008D2DBA">
        <w:rPr>
          <w:rFonts w:cstheme="minorHAnsi"/>
        </w:rPr>
        <w:t>Mean vesicle size</w:t>
      </w:r>
      <w:r w:rsidR="00200D77" w:rsidRPr="008D2DBA">
        <w:rPr>
          <w:rFonts w:cstheme="minorHAnsi"/>
        </w:rPr>
        <w:t xml:space="preserve"> ±SEM </w:t>
      </w:r>
      <w:r w:rsidR="008265ED" w:rsidRPr="008D2DBA">
        <w:rPr>
          <w:rFonts w:cstheme="minorHAnsi"/>
        </w:rPr>
        <w:t xml:space="preserve">calculated from the corresponding measurements is indicated within each </w:t>
      </w:r>
      <w:r w:rsidR="00200D77" w:rsidRPr="008D2DBA">
        <w:rPr>
          <w:rFonts w:cstheme="minorHAnsi"/>
        </w:rPr>
        <w:t>graph</w:t>
      </w:r>
      <w:r w:rsidRPr="008D2DBA">
        <w:rPr>
          <w:rFonts w:cstheme="minorHAnsi"/>
        </w:rPr>
        <w:t>. (</w:t>
      </w:r>
      <w:r w:rsidR="00200D77" w:rsidRPr="008D2DBA">
        <w:rPr>
          <w:rFonts w:cstheme="minorHAnsi"/>
        </w:rPr>
        <w:t>B</w:t>
      </w:r>
      <w:r w:rsidRPr="008D2DBA">
        <w:rPr>
          <w:rFonts w:cstheme="minorHAnsi"/>
        </w:rPr>
        <w:t xml:space="preserve">) Mean vesicle concentration of bEV preparations as determined by nFCM. Bars represent the mean value </w:t>
      </w:r>
      <w:r w:rsidR="008C0132" w:rsidRPr="008D2DBA">
        <w:rPr>
          <w:rFonts w:cstheme="minorHAnsi"/>
        </w:rPr>
        <w:t>±</w:t>
      </w:r>
      <w:r w:rsidRPr="008D2DBA">
        <w:rPr>
          <w:rFonts w:cstheme="minorHAnsi"/>
        </w:rPr>
        <w:t xml:space="preserve">SEM of </w:t>
      </w:r>
      <w:r w:rsidR="005A3435" w:rsidRPr="008D2DBA">
        <w:rPr>
          <w:rFonts w:cstheme="minorHAnsi"/>
        </w:rPr>
        <w:t xml:space="preserve">two to </w:t>
      </w:r>
      <w:r w:rsidRPr="008D2DBA">
        <w:rPr>
          <w:rFonts w:cstheme="minorHAnsi"/>
        </w:rPr>
        <w:t xml:space="preserve">four </w:t>
      </w:r>
      <w:r w:rsidR="00DC5730" w:rsidRPr="008D2DBA">
        <w:rPr>
          <w:rFonts w:cstheme="minorHAnsi"/>
        </w:rPr>
        <w:t xml:space="preserve">biological </w:t>
      </w:r>
      <w:r w:rsidR="008C0132" w:rsidRPr="008D2DBA">
        <w:rPr>
          <w:rFonts w:cstheme="minorHAnsi"/>
        </w:rPr>
        <w:t>replicates</w:t>
      </w:r>
      <w:r w:rsidRPr="008D2DBA">
        <w:rPr>
          <w:rFonts w:cstheme="minorHAnsi"/>
        </w:rPr>
        <w:t>.</w:t>
      </w:r>
      <w:bookmarkEnd w:id="0"/>
      <w:r w:rsidR="005A3435" w:rsidRPr="008D2DBA">
        <w:rPr>
          <w:rFonts w:cstheme="minorHAnsi"/>
        </w:rPr>
        <w:t xml:space="preserve"> Symbols represent replicates.</w:t>
      </w:r>
      <w:r w:rsidR="00DD74BC" w:rsidRPr="008D2DBA">
        <w:rPr>
          <w:b/>
          <w:bCs/>
        </w:rPr>
        <w:br w:type="page"/>
      </w:r>
    </w:p>
    <w:p w14:paraId="0DF53B32" w14:textId="4AFA284B" w:rsidR="00AD426C" w:rsidRPr="008D2DBA" w:rsidRDefault="00AD426C" w:rsidP="00AD426C">
      <w:pPr>
        <w:jc w:val="both"/>
        <w:rPr>
          <w:b/>
          <w:bCs/>
          <w:sz w:val="24"/>
          <w:szCs w:val="24"/>
        </w:rPr>
      </w:pPr>
      <w:r w:rsidRPr="008D2DBA">
        <w:rPr>
          <w:b/>
          <w:bCs/>
          <w:sz w:val="24"/>
          <w:szCs w:val="24"/>
        </w:rPr>
        <w:lastRenderedPageBreak/>
        <w:t xml:space="preserve">Supplementary Figure </w:t>
      </w:r>
      <w:r w:rsidR="00AE2EE5" w:rsidRPr="008D2DBA">
        <w:rPr>
          <w:b/>
          <w:bCs/>
          <w:sz w:val="24"/>
          <w:szCs w:val="24"/>
        </w:rPr>
        <w:t>3</w:t>
      </w:r>
    </w:p>
    <w:p w14:paraId="64A92A9A" w14:textId="37AB8243" w:rsidR="00AD426C" w:rsidRPr="008D2DBA" w:rsidRDefault="008404D3" w:rsidP="00AD426C">
      <w:pPr>
        <w:jc w:val="both"/>
        <w:rPr>
          <w:b/>
          <w:bCs/>
          <w:sz w:val="24"/>
          <w:szCs w:val="24"/>
        </w:rPr>
      </w:pPr>
      <w:r w:rsidRPr="008D2DBA">
        <w:rPr>
          <w:b/>
          <w:bCs/>
          <w:noProof/>
          <w:sz w:val="24"/>
          <w:szCs w:val="24"/>
        </w:rPr>
        <w:drawing>
          <wp:inline distT="0" distB="0" distL="0" distR="0" wp14:anchorId="720E2DCB" wp14:editId="3A0DB315">
            <wp:extent cx="5745934" cy="365961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2469" cy="3663772"/>
                    </a:xfrm>
                    <a:prstGeom prst="rect">
                      <a:avLst/>
                    </a:prstGeom>
                    <a:noFill/>
                  </pic:spPr>
                </pic:pic>
              </a:graphicData>
            </a:graphic>
          </wp:inline>
        </w:drawing>
      </w:r>
    </w:p>
    <w:p w14:paraId="6BD96499" w14:textId="6F6D7B28" w:rsidR="00AD426C" w:rsidRPr="008D2DBA" w:rsidRDefault="00AD426C" w:rsidP="00DD74BC">
      <w:pPr>
        <w:jc w:val="both"/>
        <w:rPr>
          <w:b/>
          <w:bCs/>
          <w:sz w:val="24"/>
          <w:szCs w:val="24"/>
        </w:rPr>
      </w:pPr>
      <w:r w:rsidRPr="008D2DBA">
        <w:rPr>
          <w:rFonts w:cstheme="minorHAnsi"/>
          <w:b/>
          <w:bCs/>
          <w:u w:val="single"/>
        </w:rPr>
        <w:t xml:space="preserve">Supplementary Figure </w:t>
      </w:r>
      <w:r w:rsidR="00AE2EE5" w:rsidRPr="008D2DBA">
        <w:rPr>
          <w:rFonts w:cstheme="minorHAnsi"/>
          <w:b/>
          <w:bCs/>
          <w:u w:val="single"/>
        </w:rPr>
        <w:t>3</w:t>
      </w:r>
      <w:r w:rsidRPr="008D2DBA">
        <w:rPr>
          <w:rFonts w:cstheme="minorHAnsi"/>
        </w:rPr>
        <w:t xml:space="preserve">: </w:t>
      </w:r>
      <w:r w:rsidRPr="008D2DBA">
        <w:rPr>
          <w:rFonts w:cstheme="minorHAnsi"/>
          <w:b/>
          <w:bCs/>
        </w:rPr>
        <w:t>Characterization of b</w:t>
      </w:r>
      <w:r w:rsidR="00A65C1A" w:rsidRPr="008D2DBA">
        <w:rPr>
          <w:rFonts w:cstheme="minorHAnsi"/>
          <w:b/>
          <w:bCs/>
        </w:rPr>
        <w:t>EV</w:t>
      </w:r>
      <w:r w:rsidRPr="008D2DBA">
        <w:rPr>
          <w:rFonts w:cstheme="minorHAnsi"/>
          <w:b/>
          <w:bCs/>
        </w:rPr>
        <w:t xml:space="preserve"> preparations.</w:t>
      </w:r>
      <w:r w:rsidRPr="008D2DBA">
        <w:rPr>
          <w:rFonts w:cstheme="minorHAnsi"/>
        </w:rPr>
        <w:t xml:space="preserve"> (A) Limulus Amebocyte Lysate (LAL) assay quantifying endotoxin content in bEV preparations derived from </w:t>
      </w:r>
      <w:r w:rsidRPr="008D2DBA">
        <w:rPr>
          <w:rFonts w:cstheme="minorHAnsi"/>
          <w:i/>
        </w:rPr>
        <w:t>Legionella pneumophila</w:t>
      </w:r>
      <w:r w:rsidRPr="008D2DBA">
        <w:rPr>
          <w:rFonts w:cstheme="minorHAnsi"/>
        </w:rPr>
        <w:t xml:space="preserve"> (bEV</w:t>
      </w:r>
      <w:r w:rsidRPr="008D2DBA">
        <w:rPr>
          <w:rFonts w:cstheme="minorHAnsi"/>
          <w:i/>
          <w:vertAlign w:val="subscript"/>
        </w:rPr>
        <w:t>Lp</w:t>
      </w:r>
      <w:r w:rsidRPr="008D2DBA">
        <w:rPr>
          <w:rFonts w:cstheme="minorHAnsi"/>
        </w:rPr>
        <w:t xml:space="preserve">), </w:t>
      </w:r>
      <w:r w:rsidRPr="008D2DBA">
        <w:rPr>
          <w:rFonts w:cstheme="minorHAnsi"/>
          <w:i/>
        </w:rPr>
        <w:t>Klebsiella pneumoniae</w:t>
      </w:r>
      <w:r w:rsidRPr="008D2DBA">
        <w:rPr>
          <w:rFonts w:cstheme="minorHAnsi"/>
        </w:rPr>
        <w:t xml:space="preserve"> (bEV</w:t>
      </w:r>
      <w:r w:rsidRPr="008D2DBA">
        <w:rPr>
          <w:rFonts w:cstheme="minorHAnsi"/>
          <w:i/>
          <w:vertAlign w:val="subscript"/>
        </w:rPr>
        <w:t>Kp</w:t>
      </w:r>
      <w:r w:rsidRPr="008D2DBA">
        <w:rPr>
          <w:rFonts w:cstheme="minorHAnsi"/>
        </w:rPr>
        <w:t xml:space="preserve">), </w:t>
      </w:r>
      <w:r w:rsidRPr="008D2DBA">
        <w:rPr>
          <w:rFonts w:cstheme="minorHAnsi"/>
          <w:i/>
        </w:rPr>
        <w:t>Escherichia coli</w:t>
      </w:r>
      <w:r w:rsidRPr="008D2DBA">
        <w:rPr>
          <w:rFonts w:cstheme="minorHAnsi"/>
        </w:rPr>
        <w:t xml:space="preserve"> (bEV</w:t>
      </w:r>
      <w:r w:rsidRPr="008D2DBA">
        <w:rPr>
          <w:rFonts w:cstheme="minorHAnsi"/>
          <w:i/>
          <w:vertAlign w:val="subscript"/>
        </w:rPr>
        <w:t>Ec</w:t>
      </w:r>
      <w:r w:rsidRPr="008D2DBA">
        <w:rPr>
          <w:rFonts w:cstheme="minorHAnsi"/>
        </w:rPr>
        <w:t xml:space="preserve">), </w:t>
      </w:r>
      <w:r w:rsidRPr="008D2DBA">
        <w:rPr>
          <w:rFonts w:cstheme="minorHAnsi"/>
          <w:i/>
        </w:rPr>
        <w:t xml:space="preserve">Salmonella </w:t>
      </w:r>
      <w:r w:rsidRPr="008D2DBA">
        <w:rPr>
          <w:rFonts w:cstheme="minorHAnsi"/>
          <w:iCs/>
        </w:rPr>
        <w:t>Typhimurium</w:t>
      </w:r>
      <w:r w:rsidRPr="008D2DBA">
        <w:rPr>
          <w:rFonts w:cstheme="minorHAnsi"/>
        </w:rPr>
        <w:t xml:space="preserve"> (bEV</w:t>
      </w:r>
      <w:r w:rsidRPr="008D2DBA">
        <w:rPr>
          <w:rFonts w:cstheme="minorHAnsi"/>
          <w:i/>
          <w:vertAlign w:val="subscript"/>
        </w:rPr>
        <w:t>Sal</w:t>
      </w:r>
      <w:r w:rsidRPr="008D2DBA">
        <w:rPr>
          <w:rFonts w:cstheme="minorHAnsi"/>
        </w:rPr>
        <w:t xml:space="preserve">), and </w:t>
      </w:r>
      <w:r w:rsidRPr="008D2DBA">
        <w:rPr>
          <w:rFonts w:cstheme="minorHAnsi"/>
          <w:i/>
        </w:rPr>
        <w:t>Streptococcus pneumoniae</w:t>
      </w:r>
      <w:r w:rsidRPr="008D2DBA">
        <w:rPr>
          <w:rFonts w:cstheme="minorHAnsi"/>
        </w:rPr>
        <w:t xml:space="preserve"> (bEV</w:t>
      </w:r>
      <w:r w:rsidRPr="008D2DBA">
        <w:rPr>
          <w:rFonts w:cstheme="minorHAnsi"/>
          <w:i/>
          <w:vertAlign w:val="subscript"/>
        </w:rPr>
        <w:t>Sp</w:t>
      </w:r>
      <w:r w:rsidRPr="008D2DBA">
        <w:rPr>
          <w:rFonts w:cstheme="minorHAnsi"/>
        </w:rPr>
        <w:t xml:space="preserve">). Endotoxin levels are shown relative to a commercially available </w:t>
      </w:r>
      <w:r w:rsidRPr="008D2DBA">
        <w:rPr>
          <w:rFonts w:cstheme="minorHAnsi"/>
          <w:i/>
          <w:iCs/>
        </w:rPr>
        <w:t>E.coli</w:t>
      </w:r>
      <w:r w:rsidRPr="008D2DBA">
        <w:rPr>
          <w:rFonts w:cstheme="minorHAnsi"/>
        </w:rPr>
        <w:t xml:space="preserve"> LPS standard. Values represent the percentage of LPS detected in bEV preparations relative to the LPS control. Bars indicate mean values. (B) Western blot analysis for </w:t>
      </w:r>
      <w:r w:rsidR="009C4377" w:rsidRPr="008D2DBA">
        <w:rPr>
          <w:rFonts w:cstheme="minorHAnsi"/>
        </w:rPr>
        <w:t>outer membrane protein A (</w:t>
      </w:r>
      <w:r w:rsidRPr="008D2DBA">
        <w:rPr>
          <w:rFonts w:cstheme="minorHAnsi"/>
        </w:rPr>
        <w:t>OmpA</w:t>
      </w:r>
      <w:r w:rsidR="009C4377" w:rsidRPr="008D2DBA">
        <w:rPr>
          <w:rFonts w:cstheme="minorHAnsi"/>
        </w:rPr>
        <w:t>)</w:t>
      </w:r>
      <w:r w:rsidRPr="008D2DBA">
        <w:rPr>
          <w:rFonts w:cstheme="minorHAnsi"/>
        </w:rPr>
        <w:t xml:space="preserve"> </w:t>
      </w:r>
      <w:r w:rsidR="009C4377" w:rsidRPr="008D2DBA">
        <w:rPr>
          <w:rFonts w:cstheme="minorHAnsi"/>
        </w:rPr>
        <w:t>in</w:t>
      </w:r>
      <w:r w:rsidRPr="008D2DBA">
        <w:rPr>
          <w:rFonts w:cstheme="minorHAnsi"/>
        </w:rPr>
        <w:t xml:space="preserve"> bEV preparations</w:t>
      </w:r>
      <w:r w:rsidR="008404D3" w:rsidRPr="008D2DBA">
        <w:rPr>
          <w:rFonts w:cstheme="minorHAnsi"/>
        </w:rPr>
        <w:t xml:space="preserve"> (upper panel)</w:t>
      </w:r>
      <w:r w:rsidRPr="008D2DBA">
        <w:rPr>
          <w:rFonts w:cstheme="minorHAnsi"/>
        </w:rPr>
        <w:t xml:space="preserve">. Equal numbers of </w:t>
      </w:r>
      <w:r w:rsidR="009C4377" w:rsidRPr="008D2DBA">
        <w:rPr>
          <w:rFonts w:cstheme="minorHAnsi"/>
        </w:rPr>
        <w:t>vesicles</w:t>
      </w:r>
      <w:r w:rsidRPr="008D2DBA">
        <w:rPr>
          <w:rFonts w:cstheme="minorHAnsi"/>
        </w:rPr>
        <w:t xml:space="preserve"> (</w:t>
      </w:r>
      <m:oMath>
        <m:r>
          <m:rPr>
            <m:sty m:val="p"/>
          </m:rPr>
          <w:rPr>
            <w:rFonts w:ascii="Cambria Math" w:hAnsi="Cambria Math" w:cstheme="minorHAnsi"/>
          </w:rPr>
          <m:t>1∙</m:t>
        </m:r>
        <m:sSup>
          <m:sSupPr>
            <m:ctrlPr>
              <w:rPr>
                <w:rFonts w:ascii="Cambria Math" w:hAnsi="Cambria Math" w:cstheme="minorHAnsi"/>
              </w:rPr>
            </m:ctrlPr>
          </m:sSupPr>
          <m:e>
            <m:r>
              <m:rPr>
                <m:sty m:val="p"/>
              </m:rPr>
              <w:rPr>
                <w:rFonts w:ascii="Cambria Math" w:hAnsi="Cambria Math" w:cstheme="minorHAnsi"/>
              </w:rPr>
              <m:t>10</m:t>
            </m:r>
          </m:e>
          <m:sup>
            <m:r>
              <m:rPr>
                <m:sty m:val="p"/>
              </m:rPr>
              <w:rPr>
                <w:rFonts w:ascii="Cambria Math" w:hAnsi="Cambria Math" w:cstheme="minorHAnsi"/>
              </w:rPr>
              <m:t>8</m:t>
            </m:r>
          </m:sup>
        </m:sSup>
      </m:oMath>
      <w:r w:rsidRPr="008D2DBA">
        <w:rPr>
          <w:rFonts w:cstheme="minorHAnsi"/>
        </w:rPr>
        <w:t xml:space="preserve"> bEVs</w:t>
      </w:r>
      <w:r w:rsidRPr="008D2DBA">
        <w:rPr>
          <w:rFonts w:eastAsiaTheme="minorEastAsia" w:cstheme="minorHAnsi"/>
        </w:rPr>
        <w:t>)</w:t>
      </w:r>
      <w:r w:rsidR="009C4377" w:rsidRPr="008D2DBA">
        <w:rPr>
          <w:rFonts w:eastAsiaTheme="minorEastAsia" w:cstheme="minorHAnsi"/>
        </w:rPr>
        <w:t xml:space="preserve"> </w:t>
      </w:r>
      <w:r w:rsidR="009C4377" w:rsidRPr="008D2DBA">
        <w:rPr>
          <w:rFonts w:cstheme="minorHAnsi"/>
        </w:rPr>
        <w:t>were loaded per lane</w:t>
      </w:r>
      <w:r w:rsidRPr="008D2DBA">
        <w:rPr>
          <w:rFonts w:eastAsiaTheme="minorEastAsia" w:cstheme="minorHAnsi"/>
        </w:rPr>
        <w:t xml:space="preserve">. </w:t>
      </w:r>
      <w:r w:rsidR="008404D3" w:rsidRPr="008D2DBA">
        <w:rPr>
          <w:rFonts w:eastAsiaTheme="minorEastAsia" w:cstheme="minorHAnsi"/>
        </w:rPr>
        <w:t xml:space="preserve">A representative blot is shown. Lower panel shows a Coomassie-stained gel. </w:t>
      </w:r>
      <w:r w:rsidR="00A65C1A" w:rsidRPr="008D2DBA">
        <w:rPr>
          <w:rFonts w:eastAsiaTheme="minorEastAsia" w:cstheme="minorHAnsi"/>
        </w:rPr>
        <w:t>M = molecular weight marker.</w:t>
      </w:r>
    </w:p>
    <w:p w14:paraId="4751E53D" w14:textId="77777777" w:rsidR="00AD426C" w:rsidRPr="008D2DBA" w:rsidRDefault="00AD426C">
      <w:pPr>
        <w:rPr>
          <w:b/>
          <w:bCs/>
          <w:sz w:val="24"/>
          <w:szCs w:val="24"/>
        </w:rPr>
      </w:pPr>
      <w:r w:rsidRPr="008D2DBA">
        <w:rPr>
          <w:b/>
          <w:bCs/>
          <w:sz w:val="24"/>
          <w:szCs w:val="24"/>
        </w:rPr>
        <w:br w:type="page"/>
      </w:r>
    </w:p>
    <w:p w14:paraId="7C25D293" w14:textId="579661E8" w:rsidR="00E87893" w:rsidRPr="008D2DBA" w:rsidRDefault="00E87893" w:rsidP="00E87893">
      <w:pPr>
        <w:jc w:val="both"/>
        <w:rPr>
          <w:b/>
          <w:bCs/>
          <w:sz w:val="24"/>
          <w:szCs w:val="24"/>
        </w:rPr>
      </w:pPr>
      <w:r w:rsidRPr="008D2DBA">
        <w:rPr>
          <w:b/>
          <w:bCs/>
          <w:sz w:val="24"/>
          <w:szCs w:val="24"/>
        </w:rPr>
        <w:lastRenderedPageBreak/>
        <w:t xml:space="preserve">Supplementary Figure </w:t>
      </w:r>
      <w:r w:rsidR="00AE2EE5" w:rsidRPr="008D2DBA">
        <w:rPr>
          <w:b/>
          <w:bCs/>
          <w:sz w:val="24"/>
          <w:szCs w:val="24"/>
        </w:rPr>
        <w:t>4</w:t>
      </w:r>
    </w:p>
    <w:p w14:paraId="041E1E5F" w14:textId="358DB000" w:rsidR="00E87893" w:rsidRPr="008D2DBA" w:rsidRDefault="00E87893" w:rsidP="00E87893">
      <w:pPr>
        <w:jc w:val="both"/>
        <w:rPr>
          <w:b/>
          <w:bCs/>
          <w:sz w:val="24"/>
          <w:szCs w:val="24"/>
        </w:rPr>
      </w:pPr>
      <w:r w:rsidRPr="008D2DBA">
        <w:rPr>
          <w:noProof/>
        </w:rPr>
        <w:drawing>
          <wp:inline distT="0" distB="0" distL="0" distR="0" wp14:anchorId="2C07EEA7" wp14:editId="003CB999">
            <wp:extent cx="5731510" cy="449135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491355"/>
                    </a:xfrm>
                    <a:prstGeom prst="rect">
                      <a:avLst/>
                    </a:prstGeom>
                    <a:noFill/>
                    <a:ln>
                      <a:noFill/>
                    </a:ln>
                  </pic:spPr>
                </pic:pic>
              </a:graphicData>
            </a:graphic>
          </wp:inline>
        </w:drawing>
      </w:r>
    </w:p>
    <w:p w14:paraId="4B051651" w14:textId="77777777" w:rsidR="00E87893" w:rsidRPr="008D2DBA" w:rsidRDefault="00E87893" w:rsidP="00E87893">
      <w:pPr>
        <w:jc w:val="both"/>
        <w:rPr>
          <w:b/>
          <w:bCs/>
          <w:sz w:val="24"/>
          <w:szCs w:val="24"/>
        </w:rPr>
      </w:pPr>
    </w:p>
    <w:p w14:paraId="7A6B298C" w14:textId="379D9922" w:rsidR="00E87893" w:rsidRPr="008D2DBA" w:rsidRDefault="00E87893" w:rsidP="00E87893">
      <w:pPr>
        <w:spacing w:before="240"/>
        <w:jc w:val="both"/>
        <w:rPr>
          <w:sz w:val="24"/>
          <w:szCs w:val="24"/>
        </w:rPr>
      </w:pPr>
      <w:r w:rsidRPr="008D2DBA">
        <w:rPr>
          <w:rFonts w:cstheme="minorHAnsi"/>
          <w:b/>
          <w:bCs/>
          <w:u w:val="single"/>
        </w:rPr>
        <w:t xml:space="preserve">Supplementary Figure </w:t>
      </w:r>
      <w:r w:rsidR="00AE2EE5" w:rsidRPr="008D2DBA">
        <w:rPr>
          <w:rFonts w:cstheme="minorHAnsi"/>
          <w:b/>
          <w:bCs/>
          <w:u w:val="single"/>
        </w:rPr>
        <w:t>4</w:t>
      </w:r>
      <w:r w:rsidRPr="008D2DBA">
        <w:rPr>
          <w:rFonts w:cstheme="minorHAnsi"/>
          <w:b/>
          <w:bCs/>
        </w:rPr>
        <w:t>: Dose-response analysis of bEV stimulation in primary human macrophages.</w:t>
      </w:r>
      <w:r w:rsidRPr="008D2DBA">
        <w:rPr>
          <w:rFonts w:cstheme="minorHAnsi"/>
        </w:rPr>
        <w:t xml:space="preserve"> </w:t>
      </w:r>
      <w:r w:rsidRPr="008D2DBA">
        <w:rPr>
          <w:sz w:val="24"/>
          <w:szCs w:val="24"/>
        </w:rPr>
        <w:t>Primary human blood-derived macrophages (BDMs) were stimulated with increasing multiplicities of vesicles (MOV 10, 100, 1,000, and 10,000) for 20 h for all bEV preparations.) Relative gene expression of CXCL8 (A) and Mx1 (B) assessed by qPCR. (C) Cytotoxicity determined by lactate dehydrogenase (LDH) release in cell culture supernatants. Dashed line indicates untreated control cells. Data represent mean values from two independent donors.</w:t>
      </w:r>
    </w:p>
    <w:p w14:paraId="4652D9D8" w14:textId="77777777" w:rsidR="00E87893" w:rsidRPr="008D2DBA" w:rsidRDefault="00E87893">
      <w:pPr>
        <w:rPr>
          <w:b/>
          <w:bCs/>
          <w:sz w:val="24"/>
          <w:szCs w:val="24"/>
        </w:rPr>
      </w:pPr>
      <w:r w:rsidRPr="008D2DBA">
        <w:rPr>
          <w:b/>
          <w:bCs/>
          <w:sz w:val="24"/>
          <w:szCs w:val="24"/>
        </w:rPr>
        <w:br w:type="page"/>
      </w:r>
    </w:p>
    <w:p w14:paraId="0AF90C8F" w14:textId="7637371F" w:rsidR="00ED5D07" w:rsidRPr="008D2DBA" w:rsidRDefault="00ED5D07" w:rsidP="00ED5D07">
      <w:pPr>
        <w:jc w:val="both"/>
        <w:rPr>
          <w:b/>
          <w:bCs/>
          <w:sz w:val="24"/>
          <w:szCs w:val="24"/>
        </w:rPr>
      </w:pPr>
      <w:r w:rsidRPr="008D2DBA">
        <w:rPr>
          <w:b/>
          <w:bCs/>
          <w:sz w:val="24"/>
          <w:szCs w:val="24"/>
        </w:rPr>
        <w:lastRenderedPageBreak/>
        <w:t>Supplementary Figure 5</w:t>
      </w:r>
    </w:p>
    <w:p w14:paraId="75EA27A4" w14:textId="693A7D75" w:rsidR="00ED5D07" w:rsidRPr="008D2DBA" w:rsidRDefault="00ED5D07" w:rsidP="00ED5D07">
      <w:pPr>
        <w:jc w:val="center"/>
        <w:rPr>
          <w:b/>
          <w:bCs/>
          <w:sz w:val="24"/>
          <w:szCs w:val="24"/>
        </w:rPr>
      </w:pPr>
      <w:r w:rsidRPr="008D2DBA">
        <w:rPr>
          <w:rFonts w:ascii="Calibri" w:eastAsia="Times New Roman" w:hAnsi="Calibri" w:cs="Calibri"/>
          <w:noProof/>
          <w:kern w:val="0"/>
          <w:lang w:val="en-GB" w:eastAsia="de-DE"/>
          <w14:ligatures w14:val="none"/>
        </w:rPr>
        <w:drawing>
          <wp:inline distT="0" distB="0" distL="0" distR="0" wp14:anchorId="0CC80FC8" wp14:editId="72122D4A">
            <wp:extent cx="2204519" cy="1966620"/>
            <wp:effectExtent l="0" t="0" r="571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15835" cy="1976715"/>
                    </a:xfrm>
                    <a:prstGeom prst="rect">
                      <a:avLst/>
                    </a:prstGeom>
                  </pic:spPr>
                </pic:pic>
              </a:graphicData>
            </a:graphic>
          </wp:inline>
        </w:drawing>
      </w:r>
    </w:p>
    <w:p w14:paraId="42ACC288" w14:textId="185C4944" w:rsidR="00ED5D07" w:rsidRPr="008D2DBA" w:rsidRDefault="00ED5D07" w:rsidP="00ED5D07">
      <w:pPr>
        <w:pStyle w:val="berschrift3"/>
        <w:jc w:val="both"/>
        <w:rPr>
          <w:rFonts w:asciiTheme="minorHAnsi" w:eastAsiaTheme="minorHAnsi" w:hAnsiTheme="minorHAnsi" w:cstheme="minorHAnsi"/>
          <w:kern w:val="2"/>
          <w:sz w:val="22"/>
          <w:szCs w:val="22"/>
          <w:lang w:val="en-US" w:eastAsia="en-US"/>
          <w14:ligatures w14:val="standardContextual"/>
        </w:rPr>
      </w:pPr>
      <w:r w:rsidRPr="008D2DBA">
        <w:rPr>
          <w:rFonts w:asciiTheme="minorHAnsi" w:eastAsiaTheme="minorHAnsi" w:hAnsiTheme="minorHAnsi" w:cstheme="minorHAnsi"/>
          <w:kern w:val="2"/>
          <w:sz w:val="22"/>
          <w:szCs w:val="22"/>
          <w:u w:val="single"/>
          <w:lang w:val="en-US" w:eastAsia="en-US"/>
          <w14:ligatures w14:val="standardContextual"/>
        </w:rPr>
        <w:t>Supplementary Figure 5:</w:t>
      </w:r>
      <w:r w:rsidRPr="008D2DBA">
        <w:rPr>
          <w:rFonts w:asciiTheme="minorHAnsi" w:eastAsiaTheme="minorHAnsi" w:hAnsiTheme="minorHAnsi" w:cstheme="minorHAnsi"/>
          <w:kern w:val="2"/>
          <w:sz w:val="22"/>
          <w:szCs w:val="22"/>
          <w:lang w:val="en-US" w:eastAsia="en-US"/>
          <w14:ligatures w14:val="standardContextual"/>
        </w:rPr>
        <w:t xml:space="preserve"> Polymyxin B-mediated neutralization of bEV-induced macrophage activation. </w:t>
      </w:r>
      <w:r w:rsidRPr="008D2DBA">
        <w:rPr>
          <w:rFonts w:asciiTheme="minorHAnsi" w:eastAsiaTheme="minorHAnsi" w:hAnsiTheme="minorHAnsi" w:cstheme="minorHAnsi"/>
          <w:b w:val="0"/>
          <w:bCs w:val="0"/>
          <w:kern w:val="2"/>
          <w:sz w:val="22"/>
          <w:szCs w:val="22"/>
          <w:lang w:val="en-US" w:eastAsia="en-US"/>
          <w14:ligatures w14:val="standardContextual"/>
        </w:rPr>
        <w:t xml:space="preserve">THP-1-derived macrophages were stimulated with </w:t>
      </w:r>
      <w:r w:rsidRPr="008D2DBA">
        <w:rPr>
          <w:rFonts w:asciiTheme="minorHAnsi" w:eastAsiaTheme="minorHAnsi" w:hAnsiTheme="minorHAnsi" w:cstheme="minorHAnsi"/>
          <w:b w:val="0"/>
          <w:bCs w:val="0"/>
          <w:i/>
          <w:iCs/>
          <w:kern w:val="2"/>
          <w:sz w:val="22"/>
          <w:szCs w:val="22"/>
          <w:lang w:val="en-US" w:eastAsia="en-US"/>
          <w14:ligatures w14:val="standardContextual"/>
        </w:rPr>
        <w:t>Klebsiella pneumoniae</w:t>
      </w:r>
      <w:r w:rsidRPr="008D2DBA">
        <w:rPr>
          <w:rFonts w:asciiTheme="minorHAnsi" w:eastAsiaTheme="minorHAnsi" w:hAnsiTheme="minorHAnsi" w:cstheme="minorHAnsi"/>
          <w:b w:val="0"/>
          <w:bCs w:val="0"/>
          <w:kern w:val="2"/>
          <w:sz w:val="22"/>
          <w:szCs w:val="22"/>
          <w:lang w:val="en-US" w:eastAsia="en-US"/>
          <w14:ligatures w14:val="standardContextual"/>
        </w:rPr>
        <w:t>-derived bEVs (bEV</w:t>
      </w:r>
      <w:r w:rsidRPr="008D2DBA">
        <w:rPr>
          <w:rFonts w:asciiTheme="minorHAnsi" w:eastAsiaTheme="minorHAnsi" w:hAnsiTheme="minorHAnsi" w:cstheme="minorHAnsi"/>
          <w:b w:val="0"/>
          <w:bCs w:val="0"/>
          <w:i/>
          <w:iCs/>
          <w:kern w:val="2"/>
          <w:sz w:val="22"/>
          <w:szCs w:val="22"/>
          <w:vertAlign w:val="subscript"/>
          <w:lang w:val="en-US" w:eastAsia="en-US"/>
          <w14:ligatures w14:val="standardContextual"/>
        </w:rPr>
        <w:t>Kp</w:t>
      </w:r>
      <w:r w:rsidRPr="008D2DBA">
        <w:rPr>
          <w:rFonts w:asciiTheme="minorHAnsi" w:eastAsiaTheme="minorHAnsi" w:hAnsiTheme="minorHAnsi" w:cstheme="minorHAnsi"/>
          <w:b w:val="0"/>
          <w:bCs w:val="0"/>
          <w:kern w:val="2"/>
          <w:sz w:val="22"/>
          <w:szCs w:val="22"/>
          <w:lang w:val="en-US" w:eastAsia="en-US"/>
          <w14:ligatures w14:val="standardContextual"/>
        </w:rPr>
        <w:t>) in the presence or absence of polymyxin B (PB; 10 and 20 µg/mL) for 20 h.</w:t>
      </w:r>
      <w:r w:rsidRPr="008D2DBA">
        <w:rPr>
          <w:rFonts w:asciiTheme="minorHAnsi" w:eastAsiaTheme="minorHAnsi" w:hAnsiTheme="minorHAnsi" w:cstheme="minorHAnsi"/>
          <w:b w:val="0"/>
          <w:bCs w:val="0"/>
          <w:kern w:val="2"/>
          <w:sz w:val="22"/>
          <w:szCs w:val="22"/>
          <w:lang w:val="en-US" w:eastAsia="en-US"/>
          <w14:ligatures w14:val="standardContextual"/>
        </w:rPr>
        <w:br/>
        <w:t>Relative Mx1 expression was assessed by qPCR. PB treatment reduced bEV-induced Mx1 expression in a concentration-dependent manner, consistent with partial neutralization of LPS activity.</w:t>
      </w:r>
      <w:r w:rsidRPr="008D2DBA">
        <w:rPr>
          <w:rFonts w:asciiTheme="minorHAnsi" w:eastAsiaTheme="minorHAnsi" w:hAnsiTheme="minorHAnsi" w:cstheme="minorHAnsi"/>
          <w:b w:val="0"/>
          <w:bCs w:val="0"/>
          <w:kern w:val="2"/>
          <w:sz w:val="22"/>
          <w:szCs w:val="22"/>
          <w:lang w:val="en-US" w:eastAsia="en-US"/>
          <w14:ligatures w14:val="standardContextual"/>
        </w:rPr>
        <w:br/>
        <w:t xml:space="preserve">Data represent mean values from </w:t>
      </w:r>
      <w:r w:rsidR="00F06192" w:rsidRPr="008D2DBA">
        <w:rPr>
          <w:rFonts w:asciiTheme="minorHAnsi" w:eastAsiaTheme="minorHAnsi" w:hAnsiTheme="minorHAnsi" w:cstheme="minorHAnsi"/>
          <w:b w:val="0"/>
          <w:bCs w:val="0"/>
          <w:kern w:val="2"/>
          <w:sz w:val="22"/>
          <w:szCs w:val="22"/>
          <w:lang w:val="en-US" w:eastAsia="en-US"/>
          <w14:ligatures w14:val="standardContextual"/>
        </w:rPr>
        <w:t xml:space="preserve">three </w:t>
      </w:r>
      <w:r w:rsidRPr="008D2DBA">
        <w:rPr>
          <w:rFonts w:asciiTheme="minorHAnsi" w:eastAsiaTheme="minorHAnsi" w:hAnsiTheme="minorHAnsi" w:cstheme="minorHAnsi"/>
          <w:b w:val="0"/>
          <w:bCs w:val="0"/>
          <w:kern w:val="2"/>
          <w:sz w:val="22"/>
          <w:szCs w:val="22"/>
          <w:lang w:val="en-US" w:eastAsia="en-US"/>
          <w14:ligatures w14:val="standardContextual"/>
        </w:rPr>
        <w:t>independent experiments.</w:t>
      </w:r>
    </w:p>
    <w:p w14:paraId="03EBD217" w14:textId="77777777" w:rsidR="00ED5D07" w:rsidRPr="008D2DBA" w:rsidRDefault="00ED5D07" w:rsidP="00DD74BC">
      <w:pPr>
        <w:jc w:val="both"/>
        <w:rPr>
          <w:b/>
          <w:bCs/>
          <w:sz w:val="24"/>
          <w:szCs w:val="24"/>
        </w:rPr>
      </w:pPr>
    </w:p>
    <w:p w14:paraId="6CF197F2" w14:textId="77777777" w:rsidR="00ED5D07" w:rsidRPr="008D2DBA" w:rsidRDefault="00ED5D07">
      <w:pPr>
        <w:rPr>
          <w:b/>
          <w:bCs/>
          <w:sz w:val="24"/>
          <w:szCs w:val="24"/>
        </w:rPr>
      </w:pPr>
      <w:r w:rsidRPr="008D2DBA">
        <w:rPr>
          <w:b/>
          <w:bCs/>
          <w:sz w:val="24"/>
          <w:szCs w:val="24"/>
        </w:rPr>
        <w:br w:type="page"/>
      </w:r>
    </w:p>
    <w:p w14:paraId="4CC67432" w14:textId="6EE30470" w:rsidR="00DD74BC" w:rsidRPr="008D2DBA" w:rsidRDefault="00DD74BC" w:rsidP="00DD74BC">
      <w:pPr>
        <w:jc w:val="both"/>
        <w:rPr>
          <w:b/>
          <w:bCs/>
          <w:sz w:val="24"/>
          <w:szCs w:val="24"/>
        </w:rPr>
      </w:pPr>
      <w:r w:rsidRPr="008D2DBA">
        <w:rPr>
          <w:b/>
          <w:bCs/>
          <w:sz w:val="24"/>
          <w:szCs w:val="24"/>
        </w:rPr>
        <w:lastRenderedPageBreak/>
        <w:t>Supplementa</w:t>
      </w:r>
      <w:r w:rsidR="00971D78" w:rsidRPr="008D2DBA">
        <w:rPr>
          <w:b/>
          <w:bCs/>
          <w:sz w:val="24"/>
          <w:szCs w:val="24"/>
        </w:rPr>
        <w:t>ry</w:t>
      </w:r>
      <w:r w:rsidRPr="008D2DBA">
        <w:rPr>
          <w:b/>
          <w:bCs/>
          <w:sz w:val="24"/>
          <w:szCs w:val="24"/>
        </w:rPr>
        <w:t xml:space="preserve"> Figure </w:t>
      </w:r>
      <w:r w:rsidR="008B138A" w:rsidRPr="008D2DBA">
        <w:rPr>
          <w:b/>
          <w:bCs/>
          <w:sz w:val="24"/>
          <w:szCs w:val="24"/>
        </w:rPr>
        <w:t>6</w:t>
      </w:r>
    </w:p>
    <w:p w14:paraId="6E3735F9" w14:textId="238B5BD4" w:rsidR="00971D78" w:rsidRPr="008D2DBA" w:rsidRDefault="008B138A" w:rsidP="00971D78">
      <w:pPr>
        <w:jc w:val="center"/>
        <w:rPr>
          <w:b/>
          <w:bCs/>
          <w:sz w:val="24"/>
          <w:szCs w:val="24"/>
        </w:rPr>
      </w:pPr>
      <w:r w:rsidRPr="008D2DBA">
        <w:rPr>
          <w:rFonts w:cstheme="minorHAnsi"/>
          <w:i/>
          <w:iCs/>
          <w:noProof/>
          <w:vertAlign w:val="subscript"/>
        </w:rPr>
        <w:drawing>
          <wp:inline distT="0" distB="0" distL="0" distR="0" wp14:anchorId="344E98E0" wp14:editId="464BA071">
            <wp:extent cx="5595620" cy="319849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95620" cy="3198495"/>
                    </a:xfrm>
                    <a:prstGeom prst="rect">
                      <a:avLst/>
                    </a:prstGeom>
                    <a:noFill/>
                    <a:ln>
                      <a:noFill/>
                    </a:ln>
                  </pic:spPr>
                </pic:pic>
              </a:graphicData>
            </a:graphic>
          </wp:inline>
        </w:drawing>
      </w:r>
    </w:p>
    <w:p w14:paraId="4281E7E9" w14:textId="1A4A8BC7" w:rsidR="008B138A" w:rsidRPr="008D2DBA" w:rsidRDefault="00971D78" w:rsidP="00D956EA">
      <w:pPr>
        <w:spacing w:before="240"/>
        <w:jc w:val="both"/>
        <w:rPr>
          <w:rFonts w:cstheme="minorHAnsi"/>
        </w:rPr>
      </w:pPr>
      <w:r w:rsidRPr="008D2DBA">
        <w:rPr>
          <w:rFonts w:cstheme="minorHAnsi"/>
          <w:b/>
          <w:bCs/>
          <w:u w:val="single"/>
        </w:rPr>
        <w:t xml:space="preserve">Supplementary Figure </w:t>
      </w:r>
      <w:r w:rsidR="008B138A" w:rsidRPr="008D2DBA">
        <w:rPr>
          <w:rFonts w:cstheme="minorHAnsi"/>
          <w:b/>
          <w:bCs/>
          <w:u w:val="single"/>
        </w:rPr>
        <w:t>6</w:t>
      </w:r>
      <w:r w:rsidRPr="008D2DBA">
        <w:rPr>
          <w:rFonts w:cstheme="minorHAnsi"/>
          <w:b/>
          <w:bCs/>
        </w:rPr>
        <w:t>:</w:t>
      </w:r>
      <w:r w:rsidR="008B138A" w:rsidRPr="008D2DBA">
        <w:t xml:space="preserve"> </w:t>
      </w:r>
      <w:r w:rsidR="008B138A" w:rsidRPr="008D2DBA">
        <w:rPr>
          <w:rFonts w:cstheme="minorHAnsi"/>
          <w:b/>
          <w:bCs/>
        </w:rPr>
        <w:t>ISG expression in Calu-3 cells following stimulation with conditioned supernatants from bEV-treated BDMs.</w:t>
      </w:r>
      <w:r w:rsidRPr="008D2DBA">
        <w:rPr>
          <w:rFonts w:cstheme="minorHAnsi"/>
        </w:rPr>
        <w:t xml:space="preserve"> (A+B) </w:t>
      </w:r>
      <w:r w:rsidR="008B138A" w:rsidRPr="008D2DBA">
        <w:rPr>
          <w:rFonts w:cstheme="minorHAnsi"/>
        </w:rPr>
        <w:t xml:space="preserve">Calu-3 cells were stimulated for 20 h with conditioned supernatants obtained from blood-derived macrophages (BDMs) stimulated with bacterial extracellular vesicles from </w:t>
      </w:r>
      <w:r w:rsidR="008B138A" w:rsidRPr="008D2DBA">
        <w:rPr>
          <w:rFonts w:cstheme="minorHAnsi"/>
          <w:i/>
          <w:iCs/>
        </w:rPr>
        <w:t>Legionella pneumophila</w:t>
      </w:r>
      <w:r w:rsidR="008B138A" w:rsidRPr="008D2DBA">
        <w:rPr>
          <w:rFonts w:cstheme="minorHAnsi"/>
        </w:rPr>
        <w:t xml:space="preserve"> (bEV</w:t>
      </w:r>
      <w:r w:rsidR="008B138A" w:rsidRPr="008D2DBA">
        <w:rPr>
          <w:rFonts w:cstheme="minorHAnsi"/>
          <w:i/>
          <w:iCs/>
          <w:vertAlign w:val="subscript"/>
        </w:rPr>
        <w:t>Lp</w:t>
      </w:r>
      <w:r w:rsidR="008B138A" w:rsidRPr="008D2DBA">
        <w:rPr>
          <w:rFonts w:cstheme="minorHAnsi"/>
        </w:rPr>
        <w:t xml:space="preserve"> SN), </w:t>
      </w:r>
      <w:r w:rsidR="008B138A" w:rsidRPr="008D2DBA">
        <w:rPr>
          <w:rFonts w:cstheme="minorHAnsi"/>
          <w:i/>
          <w:iCs/>
        </w:rPr>
        <w:t>Klebsiella pneumoniae</w:t>
      </w:r>
      <w:r w:rsidR="008B138A" w:rsidRPr="008D2DBA">
        <w:rPr>
          <w:rFonts w:cstheme="minorHAnsi"/>
        </w:rPr>
        <w:t xml:space="preserve"> (bEV</w:t>
      </w:r>
      <w:r w:rsidR="008B138A" w:rsidRPr="008D2DBA">
        <w:rPr>
          <w:rFonts w:cstheme="minorHAnsi"/>
          <w:i/>
          <w:iCs/>
          <w:vertAlign w:val="subscript"/>
        </w:rPr>
        <w:t>Kp</w:t>
      </w:r>
      <w:r w:rsidR="008B138A" w:rsidRPr="008D2DBA">
        <w:rPr>
          <w:rFonts w:cstheme="minorHAnsi"/>
        </w:rPr>
        <w:t xml:space="preserve"> SN), </w:t>
      </w:r>
      <w:r w:rsidR="008B138A" w:rsidRPr="008D2DBA">
        <w:rPr>
          <w:rFonts w:cstheme="minorHAnsi"/>
          <w:i/>
          <w:iCs/>
        </w:rPr>
        <w:t>Escherichia coli</w:t>
      </w:r>
      <w:r w:rsidR="008B138A" w:rsidRPr="008D2DBA">
        <w:rPr>
          <w:rFonts w:cstheme="minorHAnsi"/>
        </w:rPr>
        <w:t xml:space="preserve"> (bEV</w:t>
      </w:r>
      <w:r w:rsidR="008B138A" w:rsidRPr="008D2DBA">
        <w:rPr>
          <w:rFonts w:cstheme="minorHAnsi"/>
          <w:i/>
          <w:iCs/>
          <w:vertAlign w:val="subscript"/>
        </w:rPr>
        <w:t>Ec</w:t>
      </w:r>
      <w:r w:rsidR="008B138A" w:rsidRPr="008D2DBA">
        <w:rPr>
          <w:rFonts w:cstheme="minorHAnsi"/>
        </w:rPr>
        <w:t xml:space="preserve"> SN), or </w:t>
      </w:r>
      <w:r w:rsidR="008B138A" w:rsidRPr="008D2DBA">
        <w:rPr>
          <w:rFonts w:cstheme="minorHAnsi"/>
          <w:i/>
          <w:iCs/>
        </w:rPr>
        <w:t>Streptococcus pneumoniae</w:t>
      </w:r>
      <w:r w:rsidR="008B138A" w:rsidRPr="008D2DBA">
        <w:rPr>
          <w:rFonts w:cstheme="minorHAnsi"/>
        </w:rPr>
        <w:t xml:space="preserve"> (bEV SN), or from unstimulated control BDMs (Ctr SN), as indicated on the x-axis. Where indicated, Calu-3 cells were additionally treated with 10 µM Ruxolitinib (Ruxo). Relative expression of OASL (A) and ISG20 (B) was determined by qPCR and normalized to RPS18. Data are shown as x-fold change relative to untreated Calu-3 cells, which were used as the normalization reference and are indicated by the dashed line at y = 1. Bars represent mean ± SEM from three independent experiments. Symbols indicate biological replicates derived from independent BDM donors.</w:t>
      </w:r>
    </w:p>
    <w:p w14:paraId="38E12417" w14:textId="225737FA" w:rsidR="00A44C0C" w:rsidRPr="008D2DBA" w:rsidRDefault="00A44C0C" w:rsidP="00D956EA">
      <w:pPr>
        <w:spacing w:before="240"/>
        <w:jc w:val="both"/>
        <w:rPr>
          <w:rFonts w:cstheme="minorHAnsi"/>
        </w:rPr>
      </w:pPr>
      <w:r w:rsidRPr="008D2DBA">
        <w:rPr>
          <w:rFonts w:cstheme="minorHAnsi"/>
          <w:u w:val="single"/>
        </w:rPr>
        <w:t>Statistics:</w:t>
      </w:r>
      <w:r w:rsidRPr="008D2DBA">
        <w:rPr>
          <w:rFonts w:cstheme="minorHAnsi"/>
        </w:rPr>
        <w:t xml:space="preserve"> One-way ANOVA followed by Tukey’s multiple comparisons test. Statistical comparisons were performed between corresponding conditioned supernatant treatments in the absence or presence of 10 µM Ruxolitinib (Ruxo). No statistically significant differences were observed.</w:t>
      </w:r>
    </w:p>
    <w:p w14:paraId="6BD975CB" w14:textId="77777777" w:rsidR="008B138A" w:rsidRPr="008D2DBA" w:rsidRDefault="008B138A">
      <w:pPr>
        <w:rPr>
          <w:b/>
          <w:bCs/>
          <w:sz w:val="24"/>
          <w:szCs w:val="24"/>
        </w:rPr>
      </w:pPr>
      <w:r w:rsidRPr="008D2DBA">
        <w:rPr>
          <w:b/>
          <w:bCs/>
          <w:sz w:val="24"/>
          <w:szCs w:val="24"/>
        </w:rPr>
        <w:br w:type="page"/>
      </w:r>
    </w:p>
    <w:p w14:paraId="229C3EBD" w14:textId="40E9FE9C" w:rsidR="008B138A" w:rsidRPr="008D2DBA" w:rsidRDefault="008B138A" w:rsidP="008B138A">
      <w:pPr>
        <w:jc w:val="both"/>
        <w:rPr>
          <w:b/>
          <w:bCs/>
          <w:sz w:val="24"/>
          <w:szCs w:val="24"/>
        </w:rPr>
      </w:pPr>
      <w:r w:rsidRPr="008D2DBA">
        <w:rPr>
          <w:b/>
          <w:bCs/>
          <w:sz w:val="24"/>
          <w:szCs w:val="24"/>
        </w:rPr>
        <w:lastRenderedPageBreak/>
        <w:t>Supplementary Figure 7</w:t>
      </w:r>
    </w:p>
    <w:p w14:paraId="5F1FAA41" w14:textId="77777777" w:rsidR="008B138A" w:rsidRPr="008D2DBA" w:rsidRDefault="008B138A" w:rsidP="008B138A">
      <w:pPr>
        <w:jc w:val="center"/>
        <w:rPr>
          <w:b/>
          <w:bCs/>
          <w:sz w:val="24"/>
          <w:szCs w:val="24"/>
        </w:rPr>
      </w:pPr>
      <w:r w:rsidRPr="008D2DBA">
        <w:rPr>
          <w:noProof/>
        </w:rPr>
        <w:drawing>
          <wp:inline distT="0" distB="0" distL="0" distR="0" wp14:anchorId="37BEB367" wp14:editId="29F541CC">
            <wp:extent cx="5731510" cy="25558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555875"/>
                    </a:xfrm>
                    <a:prstGeom prst="rect">
                      <a:avLst/>
                    </a:prstGeom>
                    <a:noFill/>
                    <a:ln>
                      <a:noFill/>
                    </a:ln>
                  </pic:spPr>
                </pic:pic>
              </a:graphicData>
            </a:graphic>
          </wp:inline>
        </w:drawing>
      </w:r>
    </w:p>
    <w:p w14:paraId="5CD37865" w14:textId="77777777" w:rsidR="008B138A" w:rsidRPr="008D2DBA" w:rsidRDefault="008B138A" w:rsidP="008B138A">
      <w:pPr>
        <w:spacing w:before="240"/>
        <w:jc w:val="both"/>
      </w:pPr>
      <w:r w:rsidRPr="008D2DBA">
        <w:rPr>
          <w:rFonts w:cstheme="minorHAnsi"/>
          <w:b/>
          <w:bCs/>
          <w:u w:val="single"/>
        </w:rPr>
        <w:t>Supplementary Figure 7</w:t>
      </w:r>
      <w:r w:rsidRPr="008D2DBA">
        <w:rPr>
          <w:rFonts w:cstheme="minorHAnsi"/>
          <w:b/>
          <w:bCs/>
        </w:rPr>
        <w:t>: Interference of SARS-CoV-2 replication in infected Calu-3 cells, after pre-stimulation with supernatants from bEV-stimulated BDMs.</w:t>
      </w:r>
      <w:r w:rsidRPr="008D2DBA">
        <w:rPr>
          <w:rFonts w:cstheme="minorHAnsi"/>
        </w:rPr>
        <w:t xml:space="preserve"> (A+B) SARS-CoV-2 E gene expression was determined by qPCR after infection of Calu-3 cells with SARS-CoV-2 XBB1.5 (A) or Delta (B) variants for 24 h at an MOI of 0.01. Prior to infection, cells were stimulated for 20 h with supernatant from BDMs stimulated for 20 h with the indicated bEVs (</w:t>
      </w:r>
      <w:r w:rsidRPr="008D2DBA">
        <w:rPr>
          <w:rFonts w:cstheme="minorHAnsi"/>
          <w:i/>
        </w:rPr>
        <w:t>Legionella pneumophila</w:t>
      </w:r>
      <w:r w:rsidRPr="008D2DBA">
        <w:rPr>
          <w:rFonts w:cstheme="minorHAnsi"/>
        </w:rPr>
        <w:t xml:space="preserve"> (bEV</w:t>
      </w:r>
      <w:r w:rsidRPr="008D2DBA">
        <w:rPr>
          <w:rFonts w:cstheme="minorHAnsi"/>
          <w:i/>
          <w:vertAlign w:val="subscript"/>
        </w:rPr>
        <w:t>Lp</w:t>
      </w:r>
      <w:r w:rsidRPr="008D2DBA">
        <w:rPr>
          <w:rFonts w:cstheme="minorHAnsi"/>
        </w:rPr>
        <w:t xml:space="preserve"> SN), </w:t>
      </w:r>
      <w:r w:rsidRPr="008D2DBA">
        <w:rPr>
          <w:rFonts w:cstheme="minorHAnsi"/>
          <w:i/>
        </w:rPr>
        <w:t>Klebsiella pneumoniae</w:t>
      </w:r>
      <w:r w:rsidRPr="008D2DBA">
        <w:rPr>
          <w:rFonts w:cstheme="minorHAnsi"/>
        </w:rPr>
        <w:t xml:space="preserve"> (bEV</w:t>
      </w:r>
      <w:r w:rsidRPr="008D2DBA">
        <w:rPr>
          <w:rFonts w:cstheme="minorHAnsi"/>
          <w:i/>
          <w:vertAlign w:val="subscript"/>
        </w:rPr>
        <w:t>Kp</w:t>
      </w:r>
      <w:r w:rsidRPr="008D2DBA">
        <w:rPr>
          <w:rFonts w:cstheme="minorHAnsi"/>
        </w:rPr>
        <w:t xml:space="preserve"> SN), </w:t>
      </w:r>
      <w:r w:rsidRPr="008D2DBA">
        <w:rPr>
          <w:rFonts w:cstheme="minorHAnsi"/>
          <w:i/>
        </w:rPr>
        <w:t>Escherichia coli</w:t>
      </w:r>
      <w:r w:rsidRPr="008D2DBA">
        <w:rPr>
          <w:rFonts w:cstheme="minorHAnsi"/>
        </w:rPr>
        <w:t xml:space="preserve"> (bEV</w:t>
      </w:r>
      <w:r w:rsidRPr="008D2DBA">
        <w:rPr>
          <w:rFonts w:cstheme="minorHAnsi"/>
          <w:i/>
          <w:vertAlign w:val="subscript"/>
        </w:rPr>
        <w:t>Ec</w:t>
      </w:r>
      <w:r w:rsidRPr="008D2DBA">
        <w:rPr>
          <w:rFonts w:cstheme="minorHAnsi"/>
        </w:rPr>
        <w:t xml:space="preserve"> SN) and </w:t>
      </w:r>
      <w:r w:rsidRPr="008D2DBA">
        <w:rPr>
          <w:rFonts w:cstheme="minorHAnsi"/>
          <w:i/>
        </w:rPr>
        <w:t>Streptococcus pneumoniae</w:t>
      </w:r>
      <w:r w:rsidRPr="008D2DBA">
        <w:rPr>
          <w:rFonts w:cstheme="minorHAnsi"/>
        </w:rPr>
        <w:t xml:space="preserve"> (bEV</w:t>
      </w:r>
      <w:r w:rsidRPr="008D2DBA">
        <w:rPr>
          <w:rFonts w:cstheme="minorHAnsi"/>
          <w:i/>
          <w:vertAlign w:val="subscript"/>
        </w:rPr>
        <w:t>Sp</w:t>
      </w:r>
      <w:r w:rsidRPr="008D2DBA">
        <w:rPr>
          <w:rFonts w:cstheme="minorHAnsi"/>
        </w:rPr>
        <w:t xml:space="preserve"> SN)) or left untreated as control. Bars represent mean values ±SEM from three independent experiments, normalized to RPS18 and relative to untreated but infected Calu-3 control cells. Symbols represent replicates.</w:t>
      </w:r>
    </w:p>
    <w:p w14:paraId="23522D30" w14:textId="77777777" w:rsidR="008B138A" w:rsidRPr="008D2DBA" w:rsidRDefault="008B138A" w:rsidP="00D956EA">
      <w:pPr>
        <w:spacing w:before="240"/>
        <w:jc w:val="both"/>
      </w:pPr>
    </w:p>
    <w:p w14:paraId="4283E8BA" w14:textId="407DFA46" w:rsidR="00470EE4" w:rsidRPr="008D2DBA" w:rsidRDefault="00470EE4" w:rsidP="00DD74BC">
      <w:pPr>
        <w:jc w:val="both"/>
      </w:pPr>
      <w:r w:rsidRPr="008D2DBA">
        <w:t xml:space="preserve"> </w:t>
      </w:r>
    </w:p>
    <w:sectPr w:rsidR="00470EE4" w:rsidRPr="008D2DB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5421B" w14:textId="77777777" w:rsidR="00E53E7B" w:rsidRDefault="00E53E7B" w:rsidP="00DD74BC">
      <w:pPr>
        <w:spacing w:after="0" w:line="240" w:lineRule="auto"/>
      </w:pPr>
      <w:r>
        <w:separator/>
      </w:r>
    </w:p>
  </w:endnote>
  <w:endnote w:type="continuationSeparator" w:id="0">
    <w:p w14:paraId="22E0FE70" w14:textId="77777777" w:rsidR="00E53E7B" w:rsidRDefault="00E53E7B" w:rsidP="00DD7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4967" w14:textId="6AC8E840" w:rsidR="002C7382" w:rsidRDefault="00D956EA" w:rsidP="00DD74BC">
    <w:pPr>
      <w:pStyle w:val="Fuzeile"/>
    </w:pPr>
    <w:r>
      <w:t>bEVs induce antiviral immunity</w:t>
    </w:r>
    <w:r w:rsidR="002C7382">
      <w:tab/>
    </w:r>
    <w:r w:rsidR="002C7382">
      <w:tab/>
    </w:r>
    <w:sdt>
      <w:sdtPr>
        <w:id w:val="1771428188"/>
        <w:docPartObj>
          <w:docPartGallery w:val="Page Numbers (Bottom of Page)"/>
          <w:docPartUnique/>
        </w:docPartObj>
      </w:sdtPr>
      <w:sdtEndPr/>
      <w:sdtContent>
        <w:r w:rsidR="002C7382">
          <w:fldChar w:fldCharType="begin"/>
        </w:r>
        <w:r w:rsidR="002C7382">
          <w:instrText>PAGE   \* MERGEFORMAT</w:instrText>
        </w:r>
        <w:r w:rsidR="002C7382">
          <w:fldChar w:fldCharType="separate"/>
        </w:r>
        <w:r w:rsidR="002C7382">
          <w:rPr>
            <w:lang w:val="de-DE"/>
          </w:rPr>
          <w:t>2</w:t>
        </w:r>
        <w:r w:rsidR="002C7382">
          <w:fldChar w:fldCharType="end"/>
        </w:r>
      </w:sdtContent>
    </w:sdt>
  </w:p>
  <w:p w14:paraId="5569233F" w14:textId="7E1580C0" w:rsidR="002C7382" w:rsidRDefault="002C73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4F636" w14:textId="77777777" w:rsidR="00E53E7B" w:rsidRDefault="00E53E7B" w:rsidP="00DD74BC">
      <w:pPr>
        <w:spacing w:after="0" w:line="240" w:lineRule="auto"/>
      </w:pPr>
      <w:r>
        <w:separator/>
      </w:r>
    </w:p>
  </w:footnote>
  <w:footnote w:type="continuationSeparator" w:id="0">
    <w:p w14:paraId="0D9AD524" w14:textId="77777777" w:rsidR="00E53E7B" w:rsidRDefault="00E53E7B" w:rsidP="00DD74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E4"/>
    <w:rsid w:val="000D44FB"/>
    <w:rsid w:val="00200D77"/>
    <w:rsid w:val="00214DD9"/>
    <w:rsid w:val="002C7382"/>
    <w:rsid w:val="002D5991"/>
    <w:rsid w:val="002E7B76"/>
    <w:rsid w:val="00311799"/>
    <w:rsid w:val="00317843"/>
    <w:rsid w:val="00450E81"/>
    <w:rsid w:val="00470EE4"/>
    <w:rsid w:val="004C3AD2"/>
    <w:rsid w:val="005A3435"/>
    <w:rsid w:val="00607CED"/>
    <w:rsid w:val="00696931"/>
    <w:rsid w:val="00722F08"/>
    <w:rsid w:val="007564F9"/>
    <w:rsid w:val="007764AC"/>
    <w:rsid w:val="008265ED"/>
    <w:rsid w:val="008404D3"/>
    <w:rsid w:val="0088516E"/>
    <w:rsid w:val="00887F31"/>
    <w:rsid w:val="008B138A"/>
    <w:rsid w:val="008C0132"/>
    <w:rsid w:val="008C0735"/>
    <w:rsid w:val="008D1C87"/>
    <w:rsid w:val="008D2DBA"/>
    <w:rsid w:val="00914323"/>
    <w:rsid w:val="00971D78"/>
    <w:rsid w:val="009C4377"/>
    <w:rsid w:val="009F3B25"/>
    <w:rsid w:val="00A44C0C"/>
    <w:rsid w:val="00A53474"/>
    <w:rsid w:val="00A65C1A"/>
    <w:rsid w:val="00AD426C"/>
    <w:rsid w:val="00AE2EE5"/>
    <w:rsid w:val="00AF379A"/>
    <w:rsid w:val="00BA2991"/>
    <w:rsid w:val="00C36954"/>
    <w:rsid w:val="00CB4EB2"/>
    <w:rsid w:val="00CF4BBF"/>
    <w:rsid w:val="00D06279"/>
    <w:rsid w:val="00D956EA"/>
    <w:rsid w:val="00DA4A3C"/>
    <w:rsid w:val="00DC5730"/>
    <w:rsid w:val="00DD74BC"/>
    <w:rsid w:val="00DE1867"/>
    <w:rsid w:val="00E211D2"/>
    <w:rsid w:val="00E53E7B"/>
    <w:rsid w:val="00E817A0"/>
    <w:rsid w:val="00E87893"/>
    <w:rsid w:val="00ED5D07"/>
    <w:rsid w:val="00F0421A"/>
    <w:rsid w:val="00F06192"/>
    <w:rsid w:val="00FB0110"/>
    <w:rsid w:val="00FB7155"/>
    <w:rsid w:val="00FD6A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CB83"/>
  <w15:chartTrackingRefBased/>
  <w15:docId w15:val="{ABB74228-2DFE-463F-985A-DFDA1E53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paragraph" w:styleId="berschrift3">
    <w:name w:val="heading 3"/>
    <w:basedOn w:val="Standard"/>
    <w:link w:val="berschrift3Zchn"/>
    <w:uiPriority w:val="9"/>
    <w:qFormat/>
    <w:rsid w:val="00AE2EE5"/>
    <w:pPr>
      <w:spacing w:before="100" w:beforeAutospacing="1" w:after="100" w:afterAutospacing="1" w:line="240" w:lineRule="auto"/>
      <w:outlineLvl w:val="2"/>
    </w:pPr>
    <w:rPr>
      <w:rFonts w:ascii="Times New Roman" w:eastAsia="Times New Roman" w:hAnsi="Times New Roman" w:cs="Times New Roman"/>
      <w:b/>
      <w:bCs/>
      <w:kern w:val="0"/>
      <w:sz w:val="27"/>
      <w:szCs w:val="27"/>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70EE4"/>
    <w:rPr>
      <w:sz w:val="16"/>
      <w:szCs w:val="16"/>
    </w:rPr>
  </w:style>
  <w:style w:type="paragraph" w:styleId="Kommentartext">
    <w:name w:val="annotation text"/>
    <w:basedOn w:val="Standard"/>
    <w:link w:val="KommentartextZchn"/>
    <w:uiPriority w:val="99"/>
    <w:unhideWhenUsed/>
    <w:rsid w:val="00470EE4"/>
    <w:pPr>
      <w:spacing w:line="240" w:lineRule="auto"/>
    </w:pPr>
    <w:rPr>
      <w:kern w:val="0"/>
      <w:sz w:val="20"/>
      <w:szCs w:val="20"/>
      <w:lang w:val="de-DE"/>
      <w14:ligatures w14:val="none"/>
    </w:rPr>
  </w:style>
  <w:style w:type="character" w:customStyle="1" w:styleId="KommentartextZchn">
    <w:name w:val="Kommentartext Zchn"/>
    <w:basedOn w:val="Absatz-Standardschriftart"/>
    <w:link w:val="Kommentartext"/>
    <w:uiPriority w:val="99"/>
    <w:rsid w:val="00470EE4"/>
    <w:rPr>
      <w:kern w:val="0"/>
      <w:sz w:val="20"/>
      <w:szCs w:val="20"/>
      <w14:ligatures w14:val="none"/>
    </w:rPr>
  </w:style>
  <w:style w:type="paragraph" w:styleId="Kopfzeile">
    <w:name w:val="header"/>
    <w:basedOn w:val="Standard"/>
    <w:link w:val="KopfzeileZchn"/>
    <w:uiPriority w:val="99"/>
    <w:unhideWhenUsed/>
    <w:rsid w:val="00DD74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74BC"/>
    <w:rPr>
      <w:lang w:val="en-US"/>
    </w:rPr>
  </w:style>
  <w:style w:type="paragraph" w:styleId="Fuzeile">
    <w:name w:val="footer"/>
    <w:basedOn w:val="Standard"/>
    <w:link w:val="FuzeileZchn"/>
    <w:uiPriority w:val="99"/>
    <w:unhideWhenUsed/>
    <w:rsid w:val="00DD74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74BC"/>
    <w:rPr>
      <w:lang w:val="en-US"/>
    </w:rPr>
  </w:style>
  <w:style w:type="paragraph" w:styleId="Sprechblasentext">
    <w:name w:val="Balloon Text"/>
    <w:basedOn w:val="Standard"/>
    <w:link w:val="SprechblasentextZchn"/>
    <w:uiPriority w:val="99"/>
    <w:semiHidden/>
    <w:unhideWhenUsed/>
    <w:rsid w:val="002C73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7382"/>
    <w:rPr>
      <w:rFonts w:ascii="Segoe UI" w:hAnsi="Segoe UI" w:cs="Segoe UI"/>
      <w:sz w:val="18"/>
      <w:szCs w:val="18"/>
      <w:lang w:val="en-US"/>
    </w:rPr>
  </w:style>
  <w:style w:type="character" w:styleId="Platzhaltertext">
    <w:name w:val="Placeholder Text"/>
    <w:basedOn w:val="Absatz-Standardschriftart"/>
    <w:uiPriority w:val="99"/>
    <w:semiHidden/>
    <w:rsid w:val="00AD426C"/>
    <w:rPr>
      <w:color w:val="808080"/>
    </w:rPr>
  </w:style>
  <w:style w:type="character" w:customStyle="1" w:styleId="berschrift3Zchn">
    <w:name w:val="Überschrift 3 Zchn"/>
    <w:basedOn w:val="Absatz-Standardschriftart"/>
    <w:link w:val="berschrift3"/>
    <w:uiPriority w:val="9"/>
    <w:rsid w:val="00AE2EE5"/>
    <w:rPr>
      <w:rFonts w:ascii="Times New Roman" w:eastAsia="Times New Roman" w:hAnsi="Times New Roman" w:cs="Times New Roman"/>
      <w:b/>
      <w:bCs/>
      <w:kern w:val="0"/>
      <w:sz w:val="27"/>
      <w:szCs w:val="27"/>
      <w:lang w:eastAsia="de-DE"/>
      <w14:ligatures w14:val="none"/>
    </w:rPr>
  </w:style>
  <w:style w:type="character" w:styleId="Fett">
    <w:name w:val="Strong"/>
    <w:basedOn w:val="Absatz-Standardschriftart"/>
    <w:uiPriority w:val="22"/>
    <w:qFormat/>
    <w:rsid w:val="00AE2EE5"/>
    <w:rPr>
      <w:b/>
      <w:bCs/>
    </w:rPr>
  </w:style>
  <w:style w:type="paragraph" w:styleId="StandardWeb">
    <w:name w:val="Normal (Web)"/>
    <w:basedOn w:val="Standard"/>
    <w:uiPriority w:val="99"/>
    <w:semiHidden/>
    <w:unhideWhenUsed/>
    <w:rsid w:val="00AE2EE5"/>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character" w:styleId="Hervorhebung">
    <w:name w:val="Emphasis"/>
    <w:basedOn w:val="Absatz-Standardschriftart"/>
    <w:uiPriority w:val="20"/>
    <w:qFormat/>
    <w:rsid w:val="00AE2E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788634">
      <w:bodyDiv w:val="1"/>
      <w:marLeft w:val="0"/>
      <w:marRight w:val="0"/>
      <w:marTop w:val="0"/>
      <w:marBottom w:val="0"/>
      <w:divBdr>
        <w:top w:val="none" w:sz="0" w:space="0" w:color="auto"/>
        <w:left w:val="none" w:sz="0" w:space="0" w:color="auto"/>
        <w:bottom w:val="none" w:sz="0" w:space="0" w:color="auto"/>
        <w:right w:val="none" w:sz="0" w:space="0" w:color="auto"/>
      </w:divBdr>
    </w:div>
    <w:div w:id="64015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780</Words>
  <Characters>4915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Burt</dc:creator>
  <cp:keywords/>
  <dc:description/>
  <cp:lastModifiedBy>Anna Jung</cp:lastModifiedBy>
  <cp:revision>4</cp:revision>
  <dcterms:created xsi:type="dcterms:W3CDTF">2026-05-12T07:30:00Z</dcterms:created>
  <dcterms:modified xsi:type="dcterms:W3CDTF">2026-06-08T11:32:00Z</dcterms:modified>
</cp:coreProperties>
</file>