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B9B6B" w14:textId="77777777" w:rsidR="002E7501" w:rsidRPr="00586285" w:rsidRDefault="002E7501" w:rsidP="002E7501">
      <w:pPr>
        <w:suppressAutoHyphens w:val="0"/>
        <w:spacing w:after="120"/>
        <w:rPr>
          <w:rFonts w:cs="Calibri"/>
          <w:b/>
          <w:bCs/>
          <w:sz w:val="24"/>
          <w:szCs w:val="24"/>
          <w:u w:val="single"/>
          <w:lang w:val="en-US"/>
        </w:rPr>
      </w:pPr>
      <w:r w:rsidRPr="00586285">
        <w:rPr>
          <w:rFonts w:cs="Calibri"/>
          <w:b/>
          <w:bCs/>
          <w:sz w:val="24"/>
          <w:szCs w:val="24"/>
          <w:u w:val="single"/>
          <w:lang w:val="en-US"/>
        </w:rPr>
        <w:t>Supplementary Data</w:t>
      </w:r>
    </w:p>
    <w:p w14:paraId="6CA6171C" w14:textId="77777777" w:rsidR="002E7501" w:rsidRPr="00586285" w:rsidRDefault="002E7501" w:rsidP="002E7501">
      <w:pPr>
        <w:pStyle w:val="Listenabsatz"/>
        <w:numPr>
          <w:ilvl w:val="0"/>
          <w:numId w:val="1"/>
        </w:numPr>
        <w:suppressAutoHyphens w:val="0"/>
        <w:spacing w:after="120"/>
        <w:rPr>
          <w:rFonts w:cs="Calibri"/>
          <w:sz w:val="24"/>
          <w:szCs w:val="24"/>
          <w:lang w:val="en-US"/>
        </w:rPr>
      </w:pPr>
      <w:r w:rsidRPr="00586285">
        <w:rPr>
          <w:rFonts w:cs="Calibri"/>
          <w:sz w:val="24"/>
          <w:szCs w:val="24"/>
          <w:lang w:val="en-US"/>
        </w:rPr>
        <w:t>Supplementary Figure S1: Study flow chart</w:t>
      </w:r>
    </w:p>
    <w:p w14:paraId="3AD172B4" w14:textId="77777777" w:rsidR="002E7501" w:rsidRPr="00586285" w:rsidRDefault="002E7501" w:rsidP="002E7501">
      <w:pPr>
        <w:pStyle w:val="Listenabsatz"/>
        <w:numPr>
          <w:ilvl w:val="0"/>
          <w:numId w:val="1"/>
        </w:numPr>
        <w:suppressAutoHyphens w:val="0"/>
        <w:spacing w:after="120"/>
        <w:rPr>
          <w:rFonts w:cs="Calibri"/>
          <w:sz w:val="24"/>
          <w:szCs w:val="24"/>
          <w:lang w:val="en-US"/>
        </w:rPr>
      </w:pPr>
      <w:r w:rsidRPr="00586285">
        <w:rPr>
          <w:rFonts w:cs="Calibri"/>
          <w:sz w:val="24"/>
          <w:szCs w:val="24"/>
          <w:lang w:val="en-US"/>
        </w:rPr>
        <w:t>Supplementary Figure S2: Dynamics of TTV-DNA plasma load over time including longitudinal trajectories for the whole cohort</w:t>
      </w:r>
    </w:p>
    <w:p w14:paraId="102A2734" w14:textId="77777777" w:rsidR="002E7501" w:rsidRPr="00586285" w:rsidRDefault="002E7501" w:rsidP="002E7501">
      <w:pPr>
        <w:pStyle w:val="Listenabsatz"/>
        <w:numPr>
          <w:ilvl w:val="0"/>
          <w:numId w:val="1"/>
        </w:numPr>
        <w:suppressAutoHyphens w:val="0"/>
        <w:spacing w:after="120"/>
        <w:rPr>
          <w:rFonts w:cs="Calibri"/>
          <w:sz w:val="24"/>
          <w:szCs w:val="24"/>
          <w:lang w:val="en-US"/>
        </w:rPr>
      </w:pPr>
      <w:r w:rsidRPr="00586285">
        <w:rPr>
          <w:rFonts w:cs="Calibri"/>
          <w:sz w:val="24"/>
          <w:szCs w:val="24"/>
          <w:lang w:val="en-US"/>
        </w:rPr>
        <w:t>Supplementary Figure S3: TTV-DNA plasma load in patients with and without pre-existing diabetes mellitus at different time points after transplantation.</w:t>
      </w:r>
    </w:p>
    <w:p w14:paraId="3C2EB821" w14:textId="77777777" w:rsidR="002E7501" w:rsidRPr="00586285" w:rsidRDefault="002E7501" w:rsidP="002E7501">
      <w:pPr>
        <w:pStyle w:val="Listenabsatz"/>
        <w:numPr>
          <w:ilvl w:val="0"/>
          <w:numId w:val="1"/>
        </w:numPr>
        <w:suppressAutoHyphens w:val="0"/>
        <w:spacing w:after="120"/>
        <w:rPr>
          <w:rFonts w:cs="Calibri"/>
          <w:sz w:val="24"/>
          <w:szCs w:val="24"/>
          <w:lang w:val="en-US"/>
        </w:rPr>
      </w:pPr>
      <w:r w:rsidRPr="00586285">
        <w:rPr>
          <w:rFonts w:cs="Calibri"/>
          <w:sz w:val="24"/>
          <w:szCs w:val="24"/>
          <w:lang w:val="en-US"/>
        </w:rPr>
        <w:t>Supplementary Table 1: Glycemic parameters in post-transplantation diabetes mellitus versus pre-existing diabetes mellitus</w:t>
      </w:r>
    </w:p>
    <w:p w14:paraId="675A9357" w14:textId="77777777" w:rsidR="002E7501" w:rsidRPr="00586285" w:rsidRDefault="002E7501" w:rsidP="002E7501">
      <w:pPr>
        <w:pStyle w:val="Listenabsatz"/>
        <w:numPr>
          <w:ilvl w:val="0"/>
          <w:numId w:val="1"/>
        </w:numPr>
        <w:suppressAutoHyphens w:val="0"/>
        <w:spacing w:after="120"/>
        <w:rPr>
          <w:rFonts w:cs="Calibri"/>
          <w:sz w:val="24"/>
          <w:szCs w:val="24"/>
          <w:lang w:val="en-US"/>
        </w:rPr>
      </w:pPr>
      <w:r w:rsidRPr="00586285">
        <w:rPr>
          <w:rFonts w:cs="Calibri"/>
          <w:sz w:val="24"/>
          <w:szCs w:val="24"/>
          <w:lang w:val="en-US"/>
        </w:rPr>
        <w:t>Supplementary Table 2: Multiple linear regression model evaluating tacrolimus though level as a confounding variable</w:t>
      </w:r>
    </w:p>
    <w:p w14:paraId="18D36A24" w14:textId="77777777" w:rsidR="002E7501" w:rsidRPr="00586285" w:rsidRDefault="002E7501" w:rsidP="002E7501">
      <w:pPr>
        <w:pStyle w:val="Listenabsatz"/>
        <w:numPr>
          <w:ilvl w:val="0"/>
          <w:numId w:val="1"/>
        </w:numPr>
        <w:spacing w:after="120"/>
        <w:rPr>
          <w:sz w:val="24"/>
          <w:szCs w:val="24"/>
          <w:lang w:val="en-US"/>
        </w:rPr>
      </w:pPr>
      <w:r w:rsidRPr="00586285">
        <w:rPr>
          <w:sz w:val="24"/>
          <w:szCs w:val="24"/>
          <w:lang w:val="en-US"/>
        </w:rPr>
        <w:t>Supplementary Table 3: Estimated effects of age on TTV-</w:t>
      </w:r>
      <w:proofErr w:type="spellStart"/>
      <w:r w:rsidRPr="00586285">
        <w:rPr>
          <w:sz w:val="24"/>
          <w:szCs w:val="24"/>
          <w:lang w:val="en-US"/>
        </w:rPr>
        <w:t>DNAemia</w:t>
      </w:r>
      <w:proofErr w:type="spellEnd"/>
      <w:r w:rsidRPr="00586285">
        <w:rPr>
          <w:sz w:val="24"/>
          <w:szCs w:val="24"/>
          <w:lang w:val="en-US"/>
        </w:rPr>
        <w:t xml:space="preserve"> based on linear regression analysis</w:t>
      </w:r>
    </w:p>
    <w:p w14:paraId="019BB263" w14:textId="77777777" w:rsidR="002E7501" w:rsidRPr="00586285" w:rsidRDefault="002E7501" w:rsidP="002E7501">
      <w:pPr>
        <w:suppressAutoHyphens w:val="0"/>
        <w:spacing w:after="200" w:line="276" w:lineRule="auto"/>
        <w:rPr>
          <w:rFonts w:cs="Calibri"/>
          <w:sz w:val="24"/>
          <w:szCs w:val="24"/>
          <w:lang w:val="en-US"/>
        </w:rPr>
      </w:pPr>
      <w:r w:rsidRPr="00586285">
        <w:rPr>
          <w:rFonts w:cs="Calibri"/>
          <w:sz w:val="24"/>
          <w:szCs w:val="24"/>
          <w:lang w:val="en-US"/>
        </w:rPr>
        <w:br w:type="page"/>
      </w:r>
    </w:p>
    <w:p w14:paraId="4D172222" w14:textId="77777777" w:rsidR="002E7501" w:rsidRPr="00586285" w:rsidRDefault="002E7501" w:rsidP="002E7501">
      <w:pPr>
        <w:suppressAutoHyphens w:val="0"/>
        <w:spacing w:after="120"/>
        <w:rPr>
          <w:b/>
          <w:sz w:val="24"/>
          <w:szCs w:val="24"/>
          <w:lang w:val="en-US"/>
        </w:rPr>
      </w:pPr>
      <w:r w:rsidRPr="00586285">
        <w:rPr>
          <w:b/>
          <w:sz w:val="24"/>
          <w:szCs w:val="24"/>
          <w:lang w:val="en-US"/>
        </w:rPr>
        <w:lastRenderedPageBreak/>
        <w:t>Supplementary Figure S1</w:t>
      </w:r>
    </w:p>
    <w:p w14:paraId="0B85459A" w14:textId="77777777" w:rsidR="002E7501" w:rsidRPr="00586285" w:rsidRDefault="002E7501" w:rsidP="002E7501">
      <w:pPr>
        <w:suppressAutoHyphens w:val="0"/>
        <w:spacing w:after="120"/>
        <w:rPr>
          <w:rFonts w:cs="Calibri"/>
          <w:sz w:val="24"/>
          <w:szCs w:val="24"/>
          <w:lang w:val="en-US"/>
        </w:rPr>
      </w:pPr>
      <w:r w:rsidRPr="00586285">
        <w:rPr>
          <w:rFonts w:cs="Calibri"/>
          <w:noProof/>
          <w:sz w:val="24"/>
          <w:szCs w:val="24"/>
          <w:lang w:val="de-DE" w:eastAsia="de-DE"/>
        </w:rPr>
        <w:drawing>
          <wp:inline distT="0" distB="0" distL="0" distR="0" wp14:anchorId="3A366778" wp14:editId="542C42FB">
            <wp:extent cx="5760720" cy="2582545"/>
            <wp:effectExtent l="0" t="0" r="0" b="825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2582545"/>
                    </a:xfrm>
                    <a:prstGeom prst="rect">
                      <a:avLst/>
                    </a:prstGeom>
                  </pic:spPr>
                </pic:pic>
              </a:graphicData>
            </a:graphic>
          </wp:inline>
        </w:drawing>
      </w:r>
    </w:p>
    <w:p w14:paraId="12CBDC52" w14:textId="77777777" w:rsidR="002E7501" w:rsidRPr="00586285" w:rsidRDefault="002E7501" w:rsidP="002E7501">
      <w:pPr>
        <w:suppressAutoHyphens w:val="0"/>
        <w:spacing w:after="120"/>
        <w:rPr>
          <w:bCs/>
          <w:iCs/>
          <w:sz w:val="24"/>
          <w:szCs w:val="24"/>
        </w:rPr>
      </w:pPr>
      <w:r w:rsidRPr="00586285">
        <w:rPr>
          <w:b/>
          <w:sz w:val="24"/>
          <w:szCs w:val="24"/>
          <w:lang w:val="en-US"/>
        </w:rPr>
        <w:t>Supp. Fig S1. Study flow chart.</w:t>
      </w:r>
      <w:r w:rsidRPr="00586285">
        <w:rPr>
          <w:bCs/>
          <w:i/>
          <w:iCs/>
          <w:sz w:val="24"/>
          <w:szCs w:val="24"/>
          <w:lang w:val="en-US"/>
        </w:rPr>
        <w:t xml:space="preserve"> </w:t>
      </w:r>
      <w:r w:rsidRPr="00586285">
        <w:rPr>
          <w:bCs/>
          <w:sz w:val="24"/>
          <w:szCs w:val="24"/>
          <w:lang w:val="en-US"/>
        </w:rPr>
        <w:t xml:space="preserve">Overview of patient selection and reasons for exclusion. </w:t>
      </w:r>
      <w:r w:rsidRPr="00586285">
        <w:rPr>
          <w:bCs/>
          <w:sz w:val="24"/>
          <w:szCs w:val="24"/>
        </w:rPr>
        <w:t>A</w:t>
      </w:r>
      <w:r w:rsidRPr="00586285">
        <w:rPr>
          <w:bCs/>
          <w:iCs/>
          <w:sz w:val="24"/>
          <w:szCs w:val="24"/>
        </w:rPr>
        <w:t xml:space="preserve"> total of 157 kidney transplant recipients transplanted between January 2020 and December 2023 at our transplant </w:t>
      </w:r>
      <w:proofErr w:type="spellStart"/>
      <w:r w:rsidRPr="00586285">
        <w:rPr>
          <w:bCs/>
          <w:iCs/>
          <w:sz w:val="24"/>
          <w:szCs w:val="24"/>
        </w:rPr>
        <w:t>center</w:t>
      </w:r>
      <w:proofErr w:type="spellEnd"/>
      <w:r w:rsidRPr="00586285">
        <w:rPr>
          <w:bCs/>
          <w:iCs/>
          <w:sz w:val="24"/>
          <w:szCs w:val="24"/>
        </w:rPr>
        <w:t xml:space="preserve"> were screened for inclusion. 64 patients were excluded due to unavailable biomaterial for TTV-PCR analysis (n = 60) or because only one TTV result was available for subsequent analyses(n = 4). The final study cohort included 93 patients.</w:t>
      </w:r>
      <w:r w:rsidRPr="00586285">
        <w:rPr>
          <w:bCs/>
          <w:iCs/>
          <w:sz w:val="24"/>
          <w:szCs w:val="24"/>
        </w:rPr>
        <w:br w:type="page"/>
      </w:r>
    </w:p>
    <w:p w14:paraId="31CFF22F" w14:textId="77777777" w:rsidR="002E7501" w:rsidRPr="00586285" w:rsidRDefault="002E7501" w:rsidP="002E7501">
      <w:pPr>
        <w:suppressAutoHyphens w:val="0"/>
        <w:spacing w:after="120"/>
        <w:rPr>
          <w:b/>
          <w:sz w:val="24"/>
          <w:szCs w:val="24"/>
          <w:lang w:val="en-US"/>
        </w:rPr>
      </w:pPr>
      <w:r w:rsidRPr="00586285">
        <w:rPr>
          <w:b/>
          <w:sz w:val="24"/>
          <w:szCs w:val="24"/>
          <w:lang w:val="en-US"/>
        </w:rPr>
        <w:lastRenderedPageBreak/>
        <w:t>Supplementary Figure S2</w:t>
      </w:r>
    </w:p>
    <w:p w14:paraId="118AB7FD" w14:textId="77777777" w:rsidR="002E7501" w:rsidRPr="00586285" w:rsidRDefault="002E7501" w:rsidP="002E7501">
      <w:pPr>
        <w:suppressAutoHyphens w:val="0"/>
        <w:spacing w:after="120"/>
        <w:rPr>
          <w:rFonts w:cs="Calibri"/>
          <w:b/>
          <w:bCs/>
          <w:noProof/>
          <w:sz w:val="24"/>
          <w:szCs w:val="24"/>
          <w:lang w:val="en-US"/>
          <w14:ligatures w14:val="standardContextual"/>
        </w:rPr>
      </w:pPr>
    </w:p>
    <w:p w14:paraId="11C12042" w14:textId="77777777" w:rsidR="002E7501" w:rsidRPr="00586285" w:rsidRDefault="002E7501" w:rsidP="002E7501">
      <w:pPr>
        <w:suppressAutoHyphens w:val="0"/>
        <w:spacing w:after="120"/>
        <w:rPr>
          <w:rFonts w:cs="Calibri"/>
          <w:b/>
          <w:bCs/>
          <w:sz w:val="24"/>
          <w:szCs w:val="24"/>
          <w:lang w:val="en-US"/>
        </w:rPr>
      </w:pPr>
      <w:r w:rsidRPr="00586285">
        <w:rPr>
          <w:rFonts w:cs="Calibri"/>
          <w:b/>
          <w:bCs/>
          <w:noProof/>
          <w:sz w:val="24"/>
          <w:szCs w:val="24"/>
          <w:lang w:val="en-US"/>
          <w14:ligatures w14:val="standardContextual"/>
        </w:rPr>
        <w:drawing>
          <wp:inline distT="0" distB="0" distL="0" distR="0" wp14:anchorId="41126F99" wp14:editId="7B50274E">
            <wp:extent cx="4053961" cy="4724908"/>
            <wp:effectExtent l="0" t="0" r="381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6"/>
                    <a:stretch>
                      <a:fillRect/>
                    </a:stretch>
                  </pic:blipFill>
                  <pic:spPr>
                    <a:xfrm>
                      <a:off x="0" y="0"/>
                      <a:ext cx="4056564" cy="4727942"/>
                    </a:xfrm>
                    <a:prstGeom prst="rect">
                      <a:avLst/>
                    </a:prstGeom>
                  </pic:spPr>
                </pic:pic>
              </a:graphicData>
            </a:graphic>
          </wp:inline>
        </w:drawing>
      </w:r>
    </w:p>
    <w:p w14:paraId="38FF320F" w14:textId="77777777" w:rsidR="002E7501" w:rsidRPr="00586285" w:rsidRDefault="002E7501" w:rsidP="002E7501">
      <w:pPr>
        <w:suppressAutoHyphens w:val="0"/>
        <w:spacing w:after="120"/>
        <w:rPr>
          <w:rFonts w:cs="Calibri"/>
          <w:sz w:val="24"/>
          <w:szCs w:val="24"/>
          <w:lang w:val="en-US"/>
        </w:rPr>
      </w:pPr>
      <w:r w:rsidRPr="00586285">
        <w:rPr>
          <w:rFonts w:cs="Calibri"/>
          <w:b/>
          <w:bCs/>
          <w:sz w:val="24"/>
          <w:szCs w:val="24"/>
          <w:lang w:val="en-US"/>
        </w:rPr>
        <w:t>Suppl. Fig. S2. Dynamics of TTV-DNA plasma load over time including longitudinal trajectories.</w:t>
      </w:r>
      <w:r w:rsidRPr="00586285">
        <w:rPr>
          <w:rFonts w:cs="Calibri"/>
          <w:i/>
          <w:iCs/>
          <w:sz w:val="24"/>
          <w:szCs w:val="24"/>
          <w:lang w:val="en-US"/>
        </w:rPr>
        <w:t xml:space="preserve"> </w:t>
      </w:r>
      <w:r w:rsidRPr="00586285">
        <w:rPr>
          <w:rFonts w:cs="Calibri"/>
          <w:sz w:val="24"/>
          <w:szCs w:val="24"/>
          <w:lang w:val="en-US"/>
        </w:rPr>
        <w:t xml:space="preserve">Illustration of </w:t>
      </w:r>
      <w:r w:rsidRPr="00586285">
        <w:rPr>
          <w:rFonts w:cs="Calibri"/>
          <w:sz w:val="24"/>
          <w:szCs w:val="24"/>
        </w:rPr>
        <w:t>TTV-DNA plasma loads at baseline and 3, 6, and 12 months after kidney transplantation in the complete study population (n = 93). Individual symbols represent TTV-DNA plasma loads expressed as log₁₀ copies/</w:t>
      </w:r>
      <w:proofErr w:type="spellStart"/>
      <w:r w:rsidRPr="00586285">
        <w:rPr>
          <w:rFonts w:cs="Calibri"/>
          <w:sz w:val="24"/>
          <w:szCs w:val="24"/>
        </w:rPr>
        <w:t>mL.</w:t>
      </w:r>
      <w:proofErr w:type="spellEnd"/>
      <w:r w:rsidRPr="00586285">
        <w:rPr>
          <w:rFonts w:cs="Calibri"/>
          <w:sz w:val="24"/>
          <w:szCs w:val="24"/>
        </w:rPr>
        <w:t xml:space="preserve"> Individual longitudinal trajectories are displayed by connecting measurements obtained from the same patient across different time points.</w:t>
      </w:r>
    </w:p>
    <w:p w14:paraId="31303820" w14:textId="77777777" w:rsidR="002E7501" w:rsidRPr="00586285" w:rsidRDefault="002E7501" w:rsidP="002E7501">
      <w:pPr>
        <w:suppressAutoHyphens w:val="0"/>
        <w:spacing w:after="120"/>
        <w:rPr>
          <w:bCs/>
          <w:i/>
          <w:iCs/>
          <w:sz w:val="24"/>
          <w:szCs w:val="24"/>
          <w:lang w:val="en-US"/>
        </w:rPr>
      </w:pPr>
    </w:p>
    <w:p w14:paraId="21E5F2D4" w14:textId="77777777" w:rsidR="002E7501" w:rsidRPr="00586285" w:rsidRDefault="002E7501" w:rsidP="002E7501">
      <w:pPr>
        <w:suppressAutoHyphens w:val="0"/>
        <w:spacing w:after="200" w:line="276" w:lineRule="auto"/>
        <w:jc w:val="left"/>
        <w:rPr>
          <w:b/>
          <w:sz w:val="24"/>
          <w:szCs w:val="24"/>
          <w:lang w:val="en-US"/>
        </w:rPr>
      </w:pPr>
      <w:r w:rsidRPr="00586285">
        <w:rPr>
          <w:bCs/>
          <w:i/>
          <w:iCs/>
          <w:sz w:val="24"/>
          <w:szCs w:val="24"/>
          <w:lang w:val="en-US"/>
        </w:rPr>
        <w:br w:type="page"/>
      </w:r>
      <w:r w:rsidRPr="00586285">
        <w:rPr>
          <w:noProof/>
          <w:lang w:val="de-DE" w:eastAsia="de-DE"/>
        </w:rPr>
        <w:lastRenderedPageBreak/>
        <w:drawing>
          <wp:anchor distT="0" distB="0" distL="114300" distR="114300" simplePos="0" relativeHeight="251659264" behindDoc="0" locked="0" layoutInCell="1" allowOverlap="1" wp14:anchorId="4D00DCA9" wp14:editId="351E2D04">
            <wp:simplePos x="0" y="0"/>
            <wp:positionH relativeFrom="page">
              <wp:posOffset>200025</wp:posOffset>
            </wp:positionH>
            <wp:positionV relativeFrom="paragraph">
              <wp:posOffset>346075</wp:posOffset>
            </wp:positionV>
            <wp:extent cx="7222472" cy="2657475"/>
            <wp:effectExtent l="0" t="0" r="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7222472" cy="2657475"/>
                    </a:xfrm>
                    <a:prstGeom prst="rect">
                      <a:avLst/>
                    </a:prstGeom>
                  </pic:spPr>
                </pic:pic>
              </a:graphicData>
            </a:graphic>
            <wp14:sizeRelH relativeFrom="margin">
              <wp14:pctWidth>0</wp14:pctWidth>
            </wp14:sizeRelH>
            <wp14:sizeRelV relativeFrom="margin">
              <wp14:pctHeight>0</wp14:pctHeight>
            </wp14:sizeRelV>
          </wp:anchor>
        </w:drawing>
      </w:r>
      <w:r w:rsidRPr="00586285">
        <w:rPr>
          <w:b/>
          <w:sz w:val="24"/>
          <w:szCs w:val="24"/>
          <w:lang w:val="en-US"/>
        </w:rPr>
        <w:t>Supplementary Figure S3</w:t>
      </w:r>
    </w:p>
    <w:p w14:paraId="0DA16245" w14:textId="77777777" w:rsidR="002E7501" w:rsidRPr="00586285" w:rsidRDefault="002E7501" w:rsidP="002E7501">
      <w:pPr>
        <w:suppressAutoHyphens w:val="0"/>
        <w:spacing w:after="120"/>
        <w:rPr>
          <w:rFonts w:cs="Calibri"/>
          <w:sz w:val="24"/>
          <w:szCs w:val="24"/>
          <w:lang w:val="en-US"/>
        </w:rPr>
      </w:pPr>
    </w:p>
    <w:p w14:paraId="0343ADD6" w14:textId="77777777" w:rsidR="002E7501" w:rsidRPr="00586285" w:rsidRDefault="002E7501" w:rsidP="002E7501">
      <w:pPr>
        <w:suppressAutoHyphens w:val="0"/>
        <w:spacing w:after="120"/>
        <w:rPr>
          <w:bCs/>
          <w:iCs/>
          <w:sz w:val="24"/>
          <w:szCs w:val="24"/>
        </w:rPr>
      </w:pPr>
      <w:r w:rsidRPr="00586285">
        <w:rPr>
          <w:b/>
          <w:sz w:val="24"/>
          <w:szCs w:val="24"/>
          <w:lang w:val="en-US"/>
        </w:rPr>
        <w:t>Supp. Fig S3 A-C. TTV-DNA plasma load in patients with and without pre-existing diabetes mellitus at different time points after transplantation.</w:t>
      </w:r>
      <w:r w:rsidRPr="00586285">
        <w:rPr>
          <w:bCs/>
          <w:i/>
          <w:iCs/>
          <w:sz w:val="24"/>
          <w:szCs w:val="24"/>
          <w:lang w:val="en-US"/>
        </w:rPr>
        <w:t xml:space="preserve"> </w:t>
      </w:r>
      <w:r w:rsidRPr="00586285">
        <w:rPr>
          <w:bCs/>
          <w:iCs/>
          <w:sz w:val="24"/>
          <w:szCs w:val="24"/>
        </w:rPr>
        <w:t xml:space="preserve">Torque </w:t>
      </w:r>
      <w:proofErr w:type="spellStart"/>
      <w:r w:rsidRPr="00586285">
        <w:rPr>
          <w:bCs/>
          <w:iCs/>
          <w:sz w:val="24"/>
          <w:szCs w:val="24"/>
        </w:rPr>
        <w:t>teno</w:t>
      </w:r>
      <w:proofErr w:type="spellEnd"/>
      <w:r w:rsidRPr="00586285">
        <w:rPr>
          <w:bCs/>
          <w:iCs/>
          <w:sz w:val="24"/>
          <w:szCs w:val="24"/>
        </w:rPr>
        <w:t xml:space="preserve"> virus (TTV)-DNA plasma load in patients with and without pre-existing diabetes mellitus (DM) at 3 months (A), 6 months (B), and 12 months (C) after kidney transplantation. Patients with pre-existing DM included individuals with pre-existing type 1 or type 2 diabetes mellitus. Patients with PTDM were excluded from this analysis. </w:t>
      </w:r>
      <w:r w:rsidRPr="00586285">
        <w:rPr>
          <w:sz w:val="24"/>
          <w:szCs w:val="24"/>
          <w:lang w:val="en-US"/>
        </w:rPr>
        <w:t>TTV-DNA plasma loads</w:t>
      </w:r>
      <w:r w:rsidRPr="00586285">
        <w:rPr>
          <w:b/>
          <w:sz w:val="24"/>
          <w:szCs w:val="24"/>
          <w:lang w:val="en-US"/>
        </w:rPr>
        <w:t xml:space="preserve"> </w:t>
      </w:r>
      <w:r w:rsidRPr="00586285">
        <w:rPr>
          <w:bCs/>
          <w:iCs/>
          <w:sz w:val="24"/>
          <w:szCs w:val="24"/>
        </w:rPr>
        <w:t>are presented as log₁₀ copies/ml. Boxplots represent median values and interquartile ranges, while individual data points depict the distribution of available measurements. The number of available samples for each group is indicated below the respective boxplots. Differences in TTV-</w:t>
      </w:r>
      <w:proofErr w:type="spellStart"/>
      <w:r w:rsidRPr="00586285">
        <w:rPr>
          <w:bCs/>
          <w:iCs/>
          <w:sz w:val="24"/>
          <w:szCs w:val="24"/>
        </w:rPr>
        <w:t>DNAemia</w:t>
      </w:r>
      <w:proofErr w:type="spellEnd"/>
      <w:r w:rsidRPr="00586285">
        <w:rPr>
          <w:bCs/>
          <w:iCs/>
          <w:sz w:val="24"/>
          <w:szCs w:val="24"/>
        </w:rPr>
        <w:t xml:space="preserve"> between groups were assessed using the Mann–Whitney U test. No significant differences in TTV-DNA plasma loads were observed between patients with and without pre-existing DM at any time point.</w:t>
      </w:r>
      <w:bookmarkStart w:id="0" w:name="_Hlk220598122"/>
      <w:r w:rsidRPr="00586285">
        <w:rPr>
          <w:bCs/>
          <w:iCs/>
          <w:sz w:val="24"/>
          <w:szCs w:val="24"/>
        </w:rPr>
        <w:br w:type="page"/>
      </w:r>
    </w:p>
    <w:p w14:paraId="5670AA21" w14:textId="77777777" w:rsidR="002E7501" w:rsidRPr="00586285" w:rsidRDefault="002E7501" w:rsidP="002E7501">
      <w:pPr>
        <w:suppressAutoHyphens w:val="0"/>
        <w:spacing w:after="120"/>
        <w:rPr>
          <w:bCs/>
          <w:iCs/>
          <w:sz w:val="24"/>
          <w:szCs w:val="24"/>
        </w:rPr>
      </w:pPr>
      <w:r w:rsidRPr="00586285">
        <w:rPr>
          <w:b/>
          <w:sz w:val="24"/>
          <w:szCs w:val="24"/>
          <w:lang w:val="en-US"/>
        </w:rPr>
        <w:lastRenderedPageBreak/>
        <w:t xml:space="preserve">Supplementary Table 1: </w:t>
      </w:r>
      <w:proofErr w:type="spellStart"/>
      <w:r w:rsidRPr="00586285">
        <w:rPr>
          <w:rFonts w:cs="Calibri"/>
          <w:b/>
          <w:bCs/>
          <w:sz w:val="24"/>
          <w:szCs w:val="24"/>
        </w:rPr>
        <w:t>Glycemic</w:t>
      </w:r>
      <w:proofErr w:type="spellEnd"/>
      <w:r w:rsidRPr="00586285">
        <w:rPr>
          <w:rFonts w:cs="Calibri"/>
          <w:b/>
          <w:bCs/>
          <w:sz w:val="24"/>
          <w:szCs w:val="24"/>
        </w:rPr>
        <w:t xml:space="preserve"> parameters in post-transplantation diabetes mellitus versus pre-existing diabetes mellitus</w:t>
      </w:r>
      <w:bookmarkEnd w:id="0"/>
    </w:p>
    <w:tbl>
      <w:tblPr>
        <w:tblStyle w:val="Tabellenraster"/>
        <w:tblW w:w="10003" w:type="dxa"/>
        <w:tblLayout w:type="fixed"/>
        <w:tblLook w:val="04A0" w:firstRow="1" w:lastRow="0" w:firstColumn="1" w:lastColumn="0" w:noHBand="0" w:noVBand="1"/>
      </w:tblPr>
      <w:tblGrid>
        <w:gridCol w:w="2689"/>
        <w:gridCol w:w="2438"/>
        <w:gridCol w:w="2438"/>
        <w:gridCol w:w="2438"/>
      </w:tblGrid>
      <w:tr w:rsidR="002E7501" w:rsidRPr="00586285" w14:paraId="45ED0AF7" w14:textId="77777777" w:rsidTr="00974F2A">
        <w:trPr>
          <w:trHeight w:val="458"/>
        </w:trPr>
        <w:tc>
          <w:tcPr>
            <w:tcW w:w="2689" w:type="dxa"/>
            <w:shd w:val="clear" w:color="auto" w:fill="BFBFBF" w:themeFill="background1" w:themeFillShade="BF"/>
          </w:tcPr>
          <w:p w14:paraId="3B3BA775" w14:textId="77777777" w:rsidR="002E7501" w:rsidRPr="00586285" w:rsidRDefault="002E7501" w:rsidP="00974F2A">
            <w:pPr>
              <w:spacing w:after="0"/>
              <w:rPr>
                <w:b/>
                <w:bCs/>
                <w:lang w:val="en-US"/>
              </w:rPr>
            </w:pPr>
          </w:p>
        </w:tc>
        <w:tc>
          <w:tcPr>
            <w:tcW w:w="2438" w:type="dxa"/>
            <w:shd w:val="clear" w:color="auto" w:fill="BFBFBF" w:themeFill="background1" w:themeFillShade="BF"/>
          </w:tcPr>
          <w:p w14:paraId="7A93FA75" w14:textId="77777777" w:rsidR="002E7501" w:rsidRPr="00586285" w:rsidRDefault="002E7501" w:rsidP="00974F2A">
            <w:pPr>
              <w:spacing w:after="0"/>
              <w:jc w:val="center"/>
              <w:rPr>
                <w:b/>
                <w:bCs/>
                <w:lang w:val="en-US"/>
              </w:rPr>
            </w:pPr>
            <w:r w:rsidRPr="00586285">
              <w:rPr>
                <w:b/>
                <w:bCs/>
                <w:lang w:val="en-US"/>
              </w:rPr>
              <w:t>PTDM</w:t>
            </w:r>
          </w:p>
        </w:tc>
        <w:tc>
          <w:tcPr>
            <w:tcW w:w="2438" w:type="dxa"/>
            <w:shd w:val="clear" w:color="auto" w:fill="BFBFBF" w:themeFill="background1" w:themeFillShade="BF"/>
          </w:tcPr>
          <w:p w14:paraId="19FC5B3C" w14:textId="77777777" w:rsidR="002E7501" w:rsidRPr="00586285" w:rsidRDefault="002E7501" w:rsidP="00974F2A">
            <w:pPr>
              <w:spacing w:after="0"/>
              <w:jc w:val="center"/>
              <w:rPr>
                <w:b/>
                <w:bCs/>
                <w:lang w:val="en-US"/>
              </w:rPr>
            </w:pPr>
            <w:r w:rsidRPr="00586285">
              <w:rPr>
                <w:b/>
                <w:bCs/>
                <w:lang w:val="en-US"/>
              </w:rPr>
              <w:t>Pre-existing DM</w:t>
            </w:r>
          </w:p>
        </w:tc>
        <w:tc>
          <w:tcPr>
            <w:tcW w:w="2438" w:type="dxa"/>
            <w:shd w:val="clear" w:color="auto" w:fill="BFBFBF" w:themeFill="background1" w:themeFillShade="BF"/>
          </w:tcPr>
          <w:p w14:paraId="0144C2AD" w14:textId="77777777" w:rsidR="002E7501" w:rsidRPr="00586285" w:rsidRDefault="002E7501" w:rsidP="00974F2A">
            <w:pPr>
              <w:spacing w:after="0"/>
              <w:jc w:val="center"/>
              <w:rPr>
                <w:b/>
                <w:bCs/>
                <w:lang w:val="en-US"/>
              </w:rPr>
            </w:pPr>
            <w:r w:rsidRPr="00586285">
              <w:rPr>
                <w:b/>
                <w:bCs/>
                <w:lang w:val="en-US"/>
              </w:rPr>
              <w:t>p-value</w:t>
            </w:r>
          </w:p>
        </w:tc>
      </w:tr>
      <w:tr w:rsidR="002E7501" w:rsidRPr="00586285" w14:paraId="2F54A30C" w14:textId="77777777" w:rsidTr="00974F2A">
        <w:trPr>
          <w:trHeight w:val="458"/>
        </w:trPr>
        <w:tc>
          <w:tcPr>
            <w:tcW w:w="2689" w:type="dxa"/>
          </w:tcPr>
          <w:p w14:paraId="31CA6E57" w14:textId="77777777" w:rsidR="002E7501" w:rsidRPr="00586285" w:rsidRDefault="002E7501" w:rsidP="00974F2A">
            <w:pPr>
              <w:spacing w:after="0" w:line="240" w:lineRule="auto"/>
              <w:rPr>
                <w:lang w:val="en-US"/>
              </w:rPr>
            </w:pPr>
            <w:r w:rsidRPr="00586285">
              <w:rPr>
                <w:lang w:val="en-US"/>
              </w:rPr>
              <w:t>Fasting plasma glucose (mg/dl)</w:t>
            </w:r>
          </w:p>
        </w:tc>
        <w:tc>
          <w:tcPr>
            <w:tcW w:w="2438" w:type="dxa"/>
          </w:tcPr>
          <w:p w14:paraId="3DF7BEEC" w14:textId="77777777" w:rsidR="002E7501" w:rsidRPr="00586285" w:rsidRDefault="002E7501" w:rsidP="00974F2A">
            <w:pPr>
              <w:spacing w:after="0"/>
              <w:jc w:val="center"/>
              <w:rPr>
                <w:lang w:val="en-US"/>
              </w:rPr>
            </w:pPr>
          </w:p>
        </w:tc>
        <w:tc>
          <w:tcPr>
            <w:tcW w:w="2438" w:type="dxa"/>
          </w:tcPr>
          <w:p w14:paraId="646429DE" w14:textId="77777777" w:rsidR="002E7501" w:rsidRPr="00586285" w:rsidRDefault="002E7501" w:rsidP="00974F2A">
            <w:pPr>
              <w:spacing w:after="0"/>
              <w:jc w:val="center"/>
              <w:rPr>
                <w:lang w:val="en-US"/>
              </w:rPr>
            </w:pPr>
          </w:p>
        </w:tc>
        <w:tc>
          <w:tcPr>
            <w:tcW w:w="2438" w:type="dxa"/>
          </w:tcPr>
          <w:p w14:paraId="71A70416" w14:textId="77777777" w:rsidR="002E7501" w:rsidRPr="00586285" w:rsidRDefault="002E7501" w:rsidP="00974F2A">
            <w:pPr>
              <w:spacing w:after="0"/>
              <w:jc w:val="center"/>
              <w:rPr>
                <w:lang w:val="en-US"/>
              </w:rPr>
            </w:pPr>
          </w:p>
        </w:tc>
      </w:tr>
      <w:tr w:rsidR="002E7501" w:rsidRPr="00586285" w14:paraId="49D09F6D" w14:textId="77777777" w:rsidTr="00974F2A">
        <w:trPr>
          <w:trHeight w:val="458"/>
        </w:trPr>
        <w:tc>
          <w:tcPr>
            <w:tcW w:w="2689" w:type="dxa"/>
            <w:vAlign w:val="center"/>
          </w:tcPr>
          <w:p w14:paraId="5CFFE24B" w14:textId="77777777" w:rsidR="002E7501" w:rsidRPr="00586285" w:rsidRDefault="002E7501" w:rsidP="002E7501">
            <w:pPr>
              <w:pStyle w:val="Listenabsatz"/>
              <w:numPr>
                <w:ilvl w:val="0"/>
                <w:numId w:val="2"/>
              </w:numPr>
              <w:spacing w:after="0"/>
              <w:rPr>
                <w:i/>
                <w:iCs/>
                <w:lang w:val="en-US"/>
              </w:rPr>
            </w:pPr>
            <w:r w:rsidRPr="00586285">
              <w:rPr>
                <w:bCs/>
                <w:lang w:val="en-US"/>
              </w:rPr>
              <w:t>after 3 months</w:t>
            </w:r>
          </w:p>
        </w:tc>
        <w:tc>
          <w:tcPr>
            <w:tcW w:w="2438" w:type="dxa"/>
          </w:tcPr>
          <w:p w14:paraId="5F993667" w14:textId="77777777" w:rsidR="002E7501" w:rsidRPr="00586285" w:rsidRDefault="002E7501" w:rsidP="00974F2A">
            <w:pPr>
              <w:spacing w:after="0"/>
              <w:jc w:val="center"/>
              <w:rPr>
                <w:lang w:val="en-US"/>
              </w:rPr>
            </w:pPr>
            <w:r w:rsidRPr="00586285">
              <w:rPr>
                <w:iCs/>
                <w:lang w:val="en-US"/>
              </w:rPr>
              <w:t xml:space="preserve">105      </w:t>
            </w:r>
            <w:r w:rsidRPr="00586285">
              <w:rPr>
                <w:iCs/>
                <w:lang w:val="en-US"/>
              </w:rPr>
              <w:sym w:font="Symbol" w:char="F05B"/>
            </w:r>
            <w:r w:rsidRPr="00586285">
              <w:rPr>
                <w:iCs/>
                <w:lang w:val="en-US"/>
              </w:rPr>
              <w:t>98-129</w:t>
            </w:r>
            <w:r w:rsidRPr="00586285">
              <w:rPr>
                <w:iCs/>
                <w:lang w:val="en-US"/>
              </w:rPr>
              <w:sym w:font="Symbol" w:char="F05D"/>
            </w:r>
          </w:p>
        </w:tc>
        <w:tc>
          <w:tcPr>
            <w:tcW w:w="2438" w:type="dxa"/>
          </w:tcPr>
          <w:p w14:paraId="13C9017C" w14:textId="77777777" w:rsidR="002E7501" w:rsidRPr="00586285" w:rsidRDefault="002E7501" w:rsidP="00974F2A">
            <w:pPr>
              <w:spacing w:after="0"/>
              <w:jc w:val="center"/>
              <w:rPr>
                <w:lang w:val="en-US"/>
              </w:rPr>
            </w:pPr>
            <w:r w:rsidRPr="00586285">
              <w:rPr>
                <w:iCs/>
                <w:lang w:val="en-US"/>
              </w:rPr>
              <w:t xml:space="preserve">119      </w:t>
            </w:r>
            <w:r w:rsidRPr="00586285">
              <w:rPr>
                <w:iCs/>
                <w:lang w:val="en-US"/>
              </w:rPr>
              <w:sym w:font="Symbol" w:char="F05B"/>
            </w:r>
            <w:r w:rsidRPr="00586285">
              <w:rPr>
                <w:iCs/>
                <w:lang w:val="en-US"/>
              </w:rPr>
              <w:t>113-138</w:t>
            </w:r>
            <w:r w:rsidRPr="00586285">
              <w:rPr>
                <w:iCs/>
                <w:lang w:val="en-US"/>
              </w:rPr>
              <w:sym w:font="Symbol" w:char="F05D"/>
            </w:r>
          </w:p>
        </w:tc>
        <w:tc>
          <w:tcPr>
            <w:tcW w:w="2438" w:type="dxa"/>
          </w:tcPr>
          <w:p w14:paraId="214AB363" w14:textId="77777777" w:rsidR="002E7501" w:rsidRPr="00586285" w:rsidRDefault="002E7501" w:rsidP="00974F2A">
            <w:pPr>
              <w:spacing w:after="0"/>
              <w:jc w:val="center"/>
              <w:rPr>
                <w:lang w:val="en-US"/>
              </w:rPr>
            </w:pPr>
            <w:r w:rsidRPr="00586285">
              <w:rPr>
                <w:lang w:val="en-US"/>
              </w:rPr>
              <w:t>0.39</w:t>
            </w:r>
          </w:p>
        </w:tc>
      </w:tr>
      <w:tr w:rsidR="002E7501" w:rsidRPr="00586285" w14:paraId="4B36EEE8" w14:textId="77777777" w:rsidTr="00974F2A">
        <w:trPr>
          <w:trHeight w:val="458"/>
        </w:trPr>
        <w:tc>
          <w:tcPr>
            <w:tcW w:w="2689" w:type="dxa"/>
            <w:vAlign w:val="center"/>
          </w:tcPr>
          <w:p w14:paraId="6380F6DB" w14:textId="77777777" w:rsidR="002E7501" w:rsidRPr="00586285" w:rsidRDefault="002E7501" w:rsidP="002E7501">
            <w:pPr>
              <w:pStyle w:val="Listenabsatz"/>
              <w:numPr>
                <w:ilvl w:val="0"/>
                <w:numId w:val="2"/>
              </w:numPr>
              <w:spacing w:after="0"/>
              <w:rPr>
                <w:i/>
                <w:iCs/>
                <w:lang w:val="en-US"/>
              </w:rPr>
            </w:pPr>
            <w:r w:rsidRPr="00586285">
              <w:rPr>
                <w:bCs/>
                <w:lang w:val="en-US"/>
              </w:rPr>
              <w:t>after 6 months</w:t>
            </w:r>
          </w:p>
        </w:tc>
        <w:tc>
          <w:tcPr>
            <w:tcW w:w="2438" w:type="dxa"/>
          </w:tcPr>
          <w:p w14:paraId="658B1CBA" w14:textId="77777777" w:rsidR="002E7501" w:rsidRPr="00586285" w:rsidRDefault="002E7501" w:rsidP="00974F2A">
            <w:pPr>
              <w:spacing w:after="0"/>
              <w:jc w:val="center"/>
              <w:rPr>
                <w:lang w:val="en-US"/>
              </w:rPr>
            </w:pPr>
            <w:r w:rsidRPr="00586285">
              <w:rPr>
                <w:iCs/>
                <w:lang w:val="en-US"/>
              </w:rPr>
              <w:t xml:space="preserve">120      </w:t>
            </w:r>
            <w:r w:rsidRPr="00586285">
              <w:rPr>
                <w:iCs/>
                <w:lang w:val="en-US"/>
              </w:rPr>
              <w:sym w:font="Symbol" w:char="F05B"/>
            </w:r>
            <w:r w:rsidRPr="00586285">
              <w:rPr>
                <w:iCs/>
                <w:lang w:val="en-US"/>
              </w:rPr>
              <w:t>96-140</w:t>
            </w:r>
            <w:r w:rsidRPr="00586285">
              <w:rPr>
                <w:iCs/>
                <w:lang w:val="en-US"/>
              </w:rPr>
              <w:sym w:font="Symbol" w:char="F05D"/>
            </w:r>
          </w:p>
        </w:tc>
        <w:tc>
          <w:tcPr>
            <w:tcW w:w="2438" w:type="dxa"/>
          </w:tcPr>
          <w:p w14:paraId="24D9FE5D" w14:textId="77777777" w:rsidR="002E7501" w:rsidRPr="00586285" w:rsidRDefault="002E7501" w:rsidP="00974F2A">
            <w:pPr>
              <w:spacing w:after="0"/>
              <w:jc w:val="center"/>
              <w:rPr>
                <w:lang w:val="en-US"/>
              </w:rPr>
            </w:pPr>
            <w:r w:rsidRPr="00586285">
              <w:rPr>
                <w:iCs/>
                <w:lang w:val="en-US"/>
              </w:rPr>
              <w:t xml:space="preserve">110      </w:t>
            </w:r>
            <w:r w:rsidRPr="00586285">
              <w:rPr>
                <w:iCs/>
                <w:lang w:val="en-US"/>
              </w:rPr>
              <w:sym w:font="Symbol" w:char="F05B"/>
            </w:r>
            <w:r w:rsidRPr="00586285">
              <w:rPr>
                <w:iCs/>
                <w:lang w:val="en-US"/>
              </w:rPr>
              <w:t>85-146</w:t>
            </w:r>
            <w:r w:rsidRPr="00586285">
              <w:rPr>
                <w:iCs/>
                <w:lang w:val="en-US"/>
              </w:rPr>
              <w:sym w:font="Symbol" w:char="F05D"/>
            </w:r>
          </w:p>
        </w:tc>
        <w:tc>
          <w:tcPr>
            <w:tcW w:w="2438" w:type="dxa"/>
          </w:tcPr>
          <w:p w14:paraId="59FFF3C0" w14:textId="77777777" w:rsidR="002E7501" w:rsidRPr="00586285" w:rsidRDefault="002E7501" w:rsidP="00974F2A">
            <w:pPr>
              <w:spacing w:after="0"/>
              <w:jc w:val="center"/>
              <w:rPr>
                <w:lang w:val="en-US"/>
              </w:rPr>
            </w:pPr>
            <w:r w:rsidRPr="00586285">
              <w:rPr>
                <w:lang w:val="en-US"/>
              </w:rPr>
              <w:t>0.79</w:t>
            </w:r>
          </w:p>
        </w:tc>
      </w:tr>
      <w:tr w:rsidR="002E7501" w:rsidRPr="00586285" w14:paraId="467F556A" w14:textId="77777777" w:rsidTr="00974F2A">
        <w:trPr>
          <w:trHeight w:val="458"/>
        </w:trPr>
        <w:tc>
          <w:tcPr>
            <w:tcW w:w="2689" w:type="dxa"/>
            <w:vAlign w:val="center"/>
          </w:tcPr>
          <w:p w14:paraId="1578122D" w14:textId="77777777" w:rsidR="002E7501" w:rsidRPr="00586285" w:rsidRDefault="002E7501" w:rsidP="002E7501">
            <w:pPr>
              <w:pStyle w:val="Listenabsatz"/>
              <w:numPr>
                <w:ilvl w:val="0"/>
                <w:numId w:val="2"/>
              </w:numPr>
              <w:spacing w:after="0"/>
              <w:rPr>
                <w:i/>
                <w:iCs/>
                <w:lang w:val="en-US"/>
              </w:rPr>
            </w:pPr>
            <w:r w:rsidRPr="00586285">
              <w:rPr>
                <w:bCs/>
                <w:lang w:val="en-US"/>
              </w:rPr>
              <w:t>after 12 months</w:t>
            </w:r>
          </w:p>
        </w:tc>
        <w:tc>
          <w:tcPr>
            <w:tcW w:w="2438" w:type="dxa"/>
          </w:tcPr>
          <w:p w14:paraId="3A5DFE4C" w14:textId="77777777" w:rsidR="002E7501" w:rsidRPr="00586285" w:rsidRDefault="002E7501" w:rsidP="00974F2A">
            <w:pPr>
              <w:spacing w:after="0"/>
              <w:jc w:val="center"/>
              <w:rPr>
                <w:lang w:val="en-US"/>
              </w:rPr>
            </w:pPr>
            <w:r w:rsidRPr="00586285">
              <w:rPr>
                <w:iCs/>
                <w:lang w:val="en-US"/>
              </w:rPr>
              <w:t xml:space="preserve">108     </w:t>
            </w:r>
            <w:r w:rsidRPr="00586285">
              <w:rPr>
                <w:iCs/>
                <w:lang w:val="en-US"/>
              </w:rPr>
              <w:sym w:font="Symbol" w:char="F05B"/>
            </w:r>
            <w:r w:rsidRPr="00586285">
              <w:rPr>
                <w:iCs/>
                <w:lang w:val="en-US"/>
              </w:rPr>
              <w:t>97-117</w:t>
            </w:r>
            <w:r w:rsidRPr="00586285">
              <w:rPr>
                <w:iCs/>
                <w:lang w:val="en-US"/>
              </w:rPr>
              <w:sym w:font="Symbol" w:char="F05D"/>
            </w:r>
          </w:p>
        </w:tc>
        <w:tc>
          <w:tcPr>
            <w:tcW w:w="2438" w:type="dxa"/>
          </w:tcPr>
          <w:p w14:paraId="42F17B0E" w14:textId="77777777" w:rsidR="002E7501" w:rsidRPr="00586285" w:rsidRDefault="002E7501" w:rsidP="00974F2A">
            <w:pPr>
              <w:spacing w:after="0"/>
              <w:jc w:val="center"/>
              <w:rPr>
                <w:lang w:val="en-US"/>
              </w:rPr>
            </w:pPr>
            <w:r w:rsidRPr="00586285">
              <w:rPr>
                <w:iCs/>
                <w:lang w:val="en-US"/>
              </w:rPr>
              <w:t xml:space="preserve">143      </w:t>
            </w:r>
            <w:r w:rsidRPr="00586285">
              <w:rPr>
                <w:iCs/>
                <w:lang w:val="en-US"/>
              </w:rPr>
              <w:sym w:font="Symbol" w:char="F05B"/>
            </w:r>
            <w:r w:rsidRPr="00586285">
              <w:rPr>
                <w:iCs/>
                <w:lang w:val="en-US"/>
              </w:rPr>
              <w:t>126-148</w:t>
            </w:r>
            <w:r w:rsidRPr="00586285">
              <w:rPr>
                <w:iCs/>
                <w:lang w:val="en-US"/>
              </w:rPr>
              <w:sym w:font="Symbol" w:char="F05D"/>
            </w:r>
          </w:p>
        </w:tc>
        <w:tc>
          <w:tcPr>
            <w:tcW w:w="2438" w:type="dxa"/>
          </w:tcPr>
          <w:p w14:paraId="450AB2EF" w14:textId="77777777" w:rsidR="002E7501" w:rsidRPr="00586285" w:rsidRDefault="002E7501" w:rsidP="00974F2A">
            <w:pPr>
              <w:spacing w:after="0"/>
              <w:jc w:val="center"/>
              <w:rPr>
                <w:b/>
                <w:bCs/>
                <w:lang w:val="en-US"/>
              </w:rPr>
            </w:pPr>
            <w:r w:rsidRPr="00586285">
              <w:rPr>
                <w:b/>
                <w:bCs/>
                <w:lang w:val="en-US"/>
              </w:rPr>
              <w:t>0.016</w:t>
            </w:r>
          </w:p>
        </w:tc>
      </w:tr>
      <w:tr w:rsidR="002E7501" w:rsidRPr="00586285" w14:paraId="2CFA8B32" w14:textId="77777777" w:rsidTr="00974F2A">
        <w:trPr>
          <w:trHeight w:val="458"/>
        </w:trPr>
        <w:tc>
          <w:tcPr>
            <w:tcW w:w="2689" w:type="dxa"/>
          </w:tcPr>
          <w:p w14:paraId="1DFC8E24" w14:textId="77777777" w:rsidR="002E7501" w:rsidRPr="00586285" w:rsidRDefault="002E7501" w:rsidP="00974F2A">
            <w:pPr>
              <w:spacing w:after="0"/>
              <w:rPr>
                <w:lang w:val="en-US"/>
              </w:rPr>
            </w:pPr>
            <w:r w:rsidRPr="00586285">
              <w:rPr>
                <w:bCs/>
                <w:lang w:val="en-US"/>
              </w:rPr>
              <w:t>HbA1c (%)</w:t>
            </w:r>
          </w:p>
        </w:tc>
        <w:tc>
          <w:tcPr>
            <w:tcW w:w="2438" w:type="dxa"/>
          </w:tcPr>
          <w:p w14:paraId="7CE5AB41" w14:textId="77777777" w:rsidR="002E7501" w:rsidRPr="00586285" w:rsidRDefault="002E7501" w:rsidP="00974F2A">
            <w:pPr>
              <w:spacing w:after="0"/>
              <w:jc w:val="center"/>
              <w:rPr>
                <w:lang w:val="en-US"/>
              </w:rPr>
            </w:pPr>
          </w:p>
        </w:tc>
        <w:tc>
          <w:tcPr>
            <w:tcW w:w="2438" w:type="dxa"/>
          </w:tcPr>
          <w:p w14:paraId="11E7D4F4" w14:textId="77777777" w:rsidR="002E7501" w:rsidRPr="00586285" w:rsidRDefault="002E7501" w:rsidP="00974F2A">
            <w:pPr>
              <w:spacing w:after="0"/>
              <w:jc w:val="center"/>
              <w:rPr>
                <w:lang w:val="en-US"/>
              </w:rPr>
            </w:pPr>
          </w:p>
        </w:tc>
        <w:tc>
          <w:tcPr>
            <w:tcW w:w="2438" w:type="dxa"/>
          </w:tcPr>
          <w:p w14:paraId="05E13D55" w14:textId="77777777" w:rsidR="002E7501" w:rsidRPr="00586285" w:rsidRDefault="002E7501" w:rsidP="00974F2A">
            <w:pPr>
              <w:spacing w:after="0"/>
              <w:jc w:val="center"/>
              <w:rPr>
                <w:lang w:val="en-US"/>
              </w:rPr>
            </w:pPr>
          </w:p>
        </w:tc>
      </w:tr>
      <w:tr w:rsidR="002E7501" w:rsidRPr="00586285" w14:paraId="6D583CCD" w14:textId="77777777" w:rsidTr="00974F2A">
        <w:trPr>
          <w:trHeight w:val="458"/>
        </w:trPr>
        <w:tc>
          <w:tcPr>
            <w:tcW w:w="2689" w:type="dxa"/>
            <w:vAlign w:val="center"/>
          </w:tcPr>
          <w:p w14:paraId="22BAC22D" w14:textId="77777777" w:rsidR="002E7501" w:rsidRPr="00586285" w:rsidRDefault="002E7501" w:rsidP="002E7501">
            <w:pPr>
              <w:pStyle w:val="Listenabsatz"/>
              <w:numPr>
                <w:ilvl w:val="0"/>
                <w:numId w:val="3"/>
              </w:numPr>
              <w:spacing w:after="0"/>
              <w:rPr>
                <w:i/>
                <w:iCs/>
                <w:lang w:val="en-US"/>
              </w:rPr>
            </w:pPr>
            <w:r w:rsidRPr="00586285">
              <w:rPr>
                <w:bCs/>
                <w:lang w:val="en-US"/>
              </w:rPr>
              <w:t>after 3 months</w:t>
            </w:r>
          </w:p>
        </w:tc>
        <w:tc>
          <w:tcPr>
            <w:tcW w:w="2438" w:type="dxa"/>
          </w:tcPr>
          <w:p w14:paraId="71B7F6FC" w14:textId="77777777" w:rsidR="002E7501" w:rsidRPr="00586285" w:rsidRDefault="002E7501" w:rsidP="00974F2A">
            <w:pPr>
              <w:spacing w:after="0"/>
              <w:jc w:val="center"/>
              <w:rPr>
                <w:lang w:val="en-US"/>
              </w:rPr>
            </w:pPr>
            <w:r w:rsidRPr="00586285">
              <w:rPr>
                <w:iCs/>
                <w:lang w:val="en-US"/>
              </w:rPr>
              <w:t xml:space="preserve">6.6      </w:t>
            </w:r>
            <w:r w:rsidRPr="00586285">
              <w:rPr>
                <w:iCs/>
                <w:lang w:val="en-US"/>
              </w:rPr>
              <w:sym w:font="Symbol" w:char="F05B"/>
            </w:r>
            <w:r w:rsidRPr="00586285">
              <w:rPr>
                <w:iCs/>
                <w:lang w:val="en-US"/>
              </w:rPr>
              <w:t>6.2-6.8</w:t>
            </w:r>
            <w:r w:rsidRPr="00586285">
              <w:rPr>
                <w:iCs/>
                <w:lang w:val="en-US"/>
              </w:rPr>
              <w:sym w:font="Symbol" w:char="F05D"/>
            </w:r>
          </w:p>
        </w:tc>
        <w:tc>
          <w:tcPr>
            <w:tcW w:w="2438" w:type="dxa"/>
          </w:tcPr>
          <w:p w14:paraId="398B1C0E" w14:textId="77777777" w:rsidR="002E7501" w:rsidRPr="00586285" w:rsidRDefault="002E7501" w:rsidP="00974F2A">
            <w:pPr>
              <w:spacing w:after="0"/>
              <w:jc w:val="center"/>
              <w:rPr>
                <w:lang w:val="en-US"/>
              </w:rPr>
            </w:pPr>
            <w:r w:rsidRPr="00586285">
              <w:rPr>
                <w:iCs/>
                <w:lang w:val="en-US"/>
              </w:rPr>
              <w:t xml:space="preserve">7.0      </w:t>
            </w:r>
            <w:r w:rsidRPr="00586285">
              <w:rPr>
                <w:iCs/>
                <w:lang w:val="en-US"/>
              </w:rPr>
              <w:sym w:font="Symbol" w:char="F05B"/>
            </w:r>
            <w:r w:rsidRPr="00586285">
              <w:rPr>
                <w:iCs/>
                <w:lang w:val="en-US"/>
              </w:rPr>
              <w:t>6.6-7.3</w:t>
            </w:r>
            <w:r w:rsidRPr="00586285">
              <w:rPr>
                <w:iCs/>
                <w:lang w:val="en-US"/>
              </w:rPr>
              <w:sym w:font="Symbol" w:char="F05D"/>
            </w:r>
          </w:p>
        </w:tc>
        <w:tc>
          <w:tcPr>
            <w:tcW w:w="2438" w:type="dxa"/>
          </w:tcPr>
          <w:p w14:paraId="28C01E54" w14:textId="77777777" w:rsidR="002E7501" w:rsidRPr="00586285" w:rsidRDefault="002E7501" w:rsidP="00974F2A">
            <w:pPr>
              <w:spacing w:after="0"/>
              <w:jc w:val="center"/>
              <w:rPr>
                <w:lang w:val="en-US"/>
              </w:rPr>
            </w:pPr>
            <w:r w:rsidRPr="00586285">
              <w:rPr>
                <w:lang w:val="en-US"/>
              </w:rPr>
              <w:t>0.07</w:t>
            </w:r>
          </w:p>
        </w:tc>
      </w:tr>
      <w:tr w:rsidR="002E7501" w:rsidRPr="00586285" w14:paraId="45C4563F" w14:textId="77777777" w:rsidTr="00974F2A">
        <w:trPr>
          <w:trHeight w:val="458"/>
        </w:trPr>
        <w:tc>
          <w:tcPr>
            <w:tcW w:w="2689" w:type="dxa"/>
            <w:vAlign w:val="center"/>
          </w:tcPr>
          <w:p w14:paraId="6D217ED4" w14:textId="77777777" w:rsidR="002E7501" w:rsidRPr="00586285" w:rsidRDefault="002E7501" w:rsidP="002E7501">
            <w:pPr>
              <w:pStyle w:val="Listenabsatz"/>
              <w:numPr>
                <w:ilvl w:val="0"/>
                <w:numId w:val="3"/>
              </w:numPr>
              <w:spacing w:after="0"/>
              <w:rPr>
                <w:i/>
                <w:iCs/>
                <w:lang w:val="en-US"/>
              </w:rPr>
            </w:pPr>
            <w:r w:rsidRPr="00586285">
              <w:rPr>
                <w:bCs/>
                <w:lang w:val="en-US"/>
              </w:rPr>
              <w:t>after 6 months</w:t>
            </w:r>
          </w:p>
        </w:tc>
        <w:tc>
          <w:tcPr>
            <w:tcW w:w="2438" w:type="dxa"/>
          </w:tcPr>
          <w:p w14:paraId="390B7CAF" w14:textId="77777777" w:rsidR="002E7501" w:rsidRPr="00586285" w:rsidRDefault="002E7501" w:rsidP="00974F2A">
            <w:pPr>
              <w:spacing w:after="0"/>
              <w:jc w:val="center"/>
              <w:rPr>
                <w:lang w:val="en-US"/>
              </w:rPr>
            </w:pPr>
            <w:r w:rsidRPr="00586285">
              <w:rPr>
                <w:iCs/>
                <w:lang w:val="en-US"/>
              </w:rPr>
              <w:t xml:space="preserve">6.7      </w:t>
            </w:r>
            <w:r w:rsidRPr="00586285">
              <w:rPr>
                <w:iCs/>
                <w:lang w:val="en-US"/>
              </w:rPr>
              <w:sym w:font="Symbol" w:char="F05B"/>
            </w:r>
            <w:r w:rsidRPr="00586285">
              <w:rPr>
                <w:iCs/>
                <w:lang w:val="en-US"/>
              </w:rPr>
              <w:t>6.3-7.6</w:t>
            </w:r>
            <w:r w:rsidRPr="00586285">
              <w:rPr>
                <w:iCs/>
                <w:lang w:val="en-US"/>
              </w:rPr>
              <w:sym w:font="Symbol" w:char="F05D"/>
            </w:r>
          </w:p>
        </w:tc>
        <w:tc>
          <w:tcPr>
            <w:tcW w:w="2438" w:type="dxa"/>
          </w:tcPr>
          <w:p w14:paraId="08BB0E2F" w14:textId="77777777" w:rsidR="002E7501" w:rsidRPr="00586285" w:rsidRDefault="002E7501" w:rsidP="00974F2A">
            <w:pPr>
              <w:spacing w:after="0"/>
              <w:jc w:val="center"/>
              <w:rPr>
                <w:lang w:val="en-US"/>
              </w:rPr>
            </w:pPr>
            <w:r w:rsidRPr="00586285">
              <w:rPr>
                <w:iCs/>
                <w:lang w:val="en-US"/>
              </w:rPr>
              <w:t xml:space="preserve">6.7      </w:t>
            </w:r>
            <w:r w:rsidRPr="00586285">
              <w:rPr>
                <w:iCs/>
                <w:lang w:val="en-US"/>
              </w:rPr>
              <w:sym w:font="Symbol" w:char="F05B"/>
            </w:r>
            <w:r w:rsidRPr="00586285">
              <w:rPr>
                <w:iCs/>
                <w:lang w:val="en-US"/>
              </w:rPr>
              <w:t>6.6-6.8</w:t>
            </w:r>
            <w:r w:rsidRPr="00586285">
              <w:rPr>
                <w:iCs/>
                <w:lang w:val="en-US"/>
              </w:rPr>
              <w:sym w:font="Symbol" w:char="F05D"/>
            </w:r>
          </w:p>
        </w:tc>
        <w:tc>
          <w:tcPr>
            <w:tcW w:w="2438" w:type="dxa"/>
          </w:tcPr>
          <w:p w14:paraId="0B1BD4EE" w14:textId="77777777" w:rsidR="002E7501" w:rsidRPr="00586285" w:rsidRDefault="002E7501" w:rsidP="00974F2A">
            <w:pPr>
              <w:spacing w:after="0"/>
              <w:jc w:val="center"/>
              <w:rPr>
                <w:lang w:val="en-US"/>
              </w:rPr>
            </w:pPr>
            <w:r w:rsidRPr="00586285">
              <w:rPr>
                <w:lang w:val="en-US"/>
              </w:rPr>
              <w:t>0.74</w:t>
            </w:r>
          </w:p>
        </w:tc>
      </w:tr>
      <w:tr w:rsidR="002E7501" w:rsidRPr="00586285" w14:paraId="0EE61ACA" w14:textId="77777777" w:rsidTr="00974F2A">
        <w:trPr>
          <w:trHeight w:val="458"/>
        </w:trPr>
        <w:tc>
          <w:tcPr>
            <w:tcW w:w="2689" w:type="dxa"/>
            <w:vAlign w:val="center"/>
          </w:tcPr>
          <w:p w14:paraId="182D9A09" w14:textId="77777777" w:rsidR="002E7501" w:rsidRPr="00586285" w:rsidRDefault="002E7501" w:rsidP="002E7501">
            <w:pPr>
              <w:pStyle w:val="Listenabsatz"/>
              <w:numPr>
                <w:ilvl w:val="0"/>
                <w:numId w:val="3"/>
              </w:numPr>
              <w:spacing w:after="0"/>
              <w:rPr>
                <w:bCs/>
                <w:lang w:val="en-US"/>
              </w:rPr>
            </w:pPr>
            <w:r w:rsidRPr="00586285">
              <w:rPr>
                <w:bCs/>
                <w:lang w:val="en-US"/>
              </w:rPr>
              <w:t>after 12 months</w:t>
            </w:r>
          </w:p>
        </w:tc>
        <w:tc>
          <w:tcPr>
            <w:tcW w:w="2438" w:type="dxa"/>
          </w:tcPr>
          <w:p w14:paraId="287B1B5F" w14:textId="77777777" w:rsidR="002E7501" w:rsidRPr="00586285" w:rsidRDefault="002E7501" w:rsidP="00974F2A">
            <w:pPr>
              <w:spacing w:after="0"/>
              <w:jc w:val="center"/>
              <w:rPr>
                <w:lang w:val="en-US"/>
              </w:rPr>
            </w:pPr>
            <w:r w:rsidRPr="00586285">
              <w:rPr>
                <w:iCs/>
                <w:lang w:val="en-US"/>
              </w:rPr>
              <w:t xml:space="preserve">6.3     </w:t>
            </w:r>
            <w:r w:rsidRPr="00586285">
              <w:rPr>
                <w:iCs/>
                <w:lang w:val="en-US"/>
              </w:rPr>
              <w:sym w:font="Symbol" w:char="F05B"/>
            </w:r>
            <w:r w:rsidRPr="00586285">
              <w:rPr>
                <w:iCs/>
                <w:lang w:val="en-US"/>
              </w:rPr>
              <w:t>5.9-6.5</w:t>
            </w:r>
            <w:r w:rsidRPr="00586285">
              <w:rPr>
                <w:iCs/>
                <w:lang w:val="en-US"/>
              </w:rPr>
              <w:sym w:font="Symbol" w:char="F05D"/>
            </w:r>
          </w:p>
        </w:tc>
        <w:tc>
          <w:tcPr>
            <w:tcW w:w="2438" w:type="dxa"/>
          </w:tcPr>
          <w:p w14:paraId="15D5C5A9" w14:textId="77777777" w:rsidR="002E7501" w:rsidRPr="00586285" w:rsidRDefault="002E7501" w:rsidP="00974F2A">
            <w:pPr>
              <w:spacing w:after="0"/>
              <w:jc w:val="center"/>
              <w:rPr>
                <w:lang w:val="en-US"/>
              </w:rPr>
            </w:pPr>
            <w:r w:rsidRPr="00586285">
              <w:rPr>
                <w:iCs/>
                <w:lang w:val="en-US"/>
              </w:rPr>
              <w:t xml:space="preserve">7.3      </w:t>
            </w:r>
            <w:r w:rsidRPr="00586285">
              <w:rPr>
                <w:iCs/>
                <w:lang w:val="en-US"/>
              </w:rPr>
              <w:sym w:font="Symbol" w:char="F05B"/>
            </w:r>
            <w:r w:rsidRPr="00586285">
              <w:rPr>
                <w:iCs/>
                <w:lang w:val="en-US"/>
              </w:rPr>
              <w:t>6.6-7.7</w:t>
            </w:r>
            <w:r w:rsidRPr="00586285">
              <w:rPr>
                <w:iCs/>
                <w:lang w:val="en-US"/>
              </w:rPr>
              <w:sym w:font="Symbol" w:char="F05D"/>
            </w:r>
          </w:p>
        </w:tc>
        <w:tc>
          <w:tcPr>
            <w:tcW w:w="2438" w:type="dxa"/>
          </w:tcPr>
          <w:p w14:paraId="450C9612" w14:textId="77777777" w:rsidR="002E7501" w:rsidRPr="00586285" w:rsidRDefault="002E7501" w:rsidP="00974F2A">
            <w:pPr>
              <w:spacing w:after="0"/>
              <w:jc w:val="center"/>
              <w:rPr>
                <w:b/>
                <w:bCs/>
                <w:lang w:val="en-US"/>
              </w:rPr>
            </w:pPr>
            <w:r w:rsidRPr="00586285">
              <w:rPr>
                <w:b/>
                <w:bCs/>
                <w:lang w:val="en-US"/>
              </w:rPr>
              <w:t>0.003</w:t>
            </w:r>
          </w:p>
        </w:tc>
      </w:tr>
    </w:tbl>
    <w:p w14:paraId="2C9E8097" w14:textId="77777777" w:rsidR="002E7501" w:rsidRPr="00586285" w:rsidRDefault="002E7501" w:rsidP="002E7501">
      <w:pPr>
        <w:suppressAutoHyphens w:val="0"/>
        <w:spacing w:after="200"/>
        <w:rPr>
          <w:b/>
          <w:sz w:val="24"/>
          <w:szCs w:val="24"/>
          <w:lang w:val="en-US"/>
        </w:rPr>
      </w:pPr>
    </w:p>
    <w:p w14:paraId="57B7E617" w14:textId="77777777" w:rsidR="002E7501" w:rsidRPr="00586285" w:rsidRDefault="002E7501" w:rsidP="002E7501">
      <w:pPr>
        <w:suppressAutoHyphens w:val="0"/>
        <w:spacing w:after="200"/>
        <w:rPr>
          <w:b/>
          <w:sz w:val="24"/>
          <w:szCs w:val="24"/>
          <w:lang w:val="en-US"/>
        </w:rPr>
      </w:pPr>
      <w:r w:rsidRPr="00586285">
        <w:rPr>
          <w:rFonts w:cs="Calibri"/>
          <w:sz w:val="24"/>
          <w:szCs w:val="24"/>
        </w:rPr>
        <w:t xml:space="preserve">Fasting plasma glucose and HbA1c levels are shown for patients with post-transplant diabetes mellitus (PTDM) and patients with pre-existing diabetes mellitus (DM) at 3, 6, and 12 months after kidney transplantation. </w:t>
      </w:r>
      <w:r w:rsidRPr="00586285">
        <w:rPr>
          <w:bCs/>
          <w:sz w:val="24"/>
          <w:szCs w:val="24"/>
        </w:rPr>
        <w:t>Patients were classified as PTDM if the diagnosis had been established at or before the respective time point</w:t>
      </w:r>
      <w:r w:rsidRPr="00586285">
        <w:rPr>
          <w:bCs/>
          <w:iCs/>
          <w:sz w:val="24"/>
          <w:szCs w:val="24"/>
        </w:rPr>
        <w:t xml:space="preserve">. </w:t>
      </w:r>
      <w:r w:rsidRPr="00586285">
        <w:rPr>
          <w:rFonts w:cs="Calibri"/>
          <w:sz w:val="24"/>
          <w:szCs w:val="24"/>
        </w:rPr>
        <w:t>Data are presented as median values with interquartile ranges (IQR). Group comparisons were performed at each time point using the Mann–Whitney U test. Statistically significant p-values (p &lt;0.05) are highlighted in bold. No significant differences in glycaemic parameters were observed between groups at 3 and 6 months after transplantation. However, at 12 months, patients with pre-existing DM showed significantly higher fasting plasma glucose and HbA1c levels compared with patients with PTDM.</w:t>
      </w:r>
      <w:r w:rsidRPr="00586285">
        <w:rPr>
          <w:b/>
          <w:sz w:val="24"/>
          <w:szCs w:val="24"/>
          <w:lang w:val="en-US"/>
        </w:rPr>
        <w:br w:type="page"/>
      </w:r>
    </w:p>
    <w:p w14:paraId="4502D3E7" w14:textId="77777777" w:rsidR="002E7501" w:rsidRPr="00586285" w:rsidRDefault="002E7501" w:rsidP="002E7501">
      <w:pPr>
        <w:suppressAutoHyphens w:val="0"/>
        <w:spacing w:after="120"/>
        <w:rPr>
          <w:b/>
          <w:sz w:val="24"/>
          <w:szCs w:val="24"/>
          <w:lang w:val="en-US"/>
        </w:rPr>
      </w:pPr>
      <w:r w:rsidRPr="00586285">
        <w:rPr>
          <w:b/>
          <w:sz w:val="24"/>
          <w:szCs w:val="24"/>
          <w:lang w:val="en-US"/>
        </w:rPr>
        <w:lastRenderedPageBreak/>
        <w:t xml:space="preserve">Supplementary Table 2: </w:t>
      </w:r>
      <w:r w:rsidRPr="00586285">
        <w:rPr>
          <w:rFonts w:cs="Calibri"/>
          <w:b/>
          <w:bCs/>
          <w:sz w:val="24"/>
          <w:szCs w:val="24"/>
          <w:lang w:val="en-US"/>
        </w:rPr>
        <w:t>Multiple linear regression model evaluating tacrolimus trough level as a confounding variable</w:t>
      </w:r>
    </w:p>
    <w:tbl>
      <w:tblPr>
        <w:tblStyle w:val="Tabellenraster"/>
        <w:tblW w:w="9543" w:type="dxa"/>
        <w:tblLayout w:type="fixed"/>
        <w:tblLook w:val="04A0" w:firstRow="1" w:lastRow="0" w:firstColumn="1" w:lastColumn="0" w:noHBand="0" w:noVBand="1"/>
      </w:tblPr>
      <w:tblGrid>
        <w:gridCol w:w="1908"/>
        <w:gridCol w:w="1908"/>
        <w:gridCol w:w="1909"/>
        <w:gridCol w:w="1909"/>
        <w:gridCol w:w="1909"/>
      </w:tblGrid>
      <w:tr w:rsidR="002E7501" w:rsidRPr="00586285" w14:paraId="0B8DEA4F" w14:textId="77777777" w:rsidTr="00974F2A">
        <w:trPr>
          <w:trHeight w:val="458"/>
        </w:trPr>
        <w:tc>
          <w:tcPr>
            <w:tcW w:w="1908" w:type="dxa"/>
            <w:shd w:val="clear" w:color="auto" w:fill="BFBFBF" w:themeFill="background1" w:themeFillShade="BF"/>
          </w:tcPr>
          <w:p w14:paraId="18880CB4"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 xml:space="preserve">At 3 months </w:t>
            </w:r>
          </w:p>
        </w:tc>
        <w:tc>
          <w:tcPr>
            <w:tcW w:w="1908" w:type="dxa"/>
            <w:shd w:val="clear" w:color="auto" w:fill="BFBFBF" w:themeFill="background1" w:themeFillShade="BF"/>
          </w:tcPr>
          <w:p w14:paraId="365C0951"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Estimate</w:t>
            </w:r>
          </w:p>
        </w:tc>
        <w:tc>
          <w:tcPr>
            <w:tcW w:w="1909" w:type="dxa"/>
            <w:shd w:val="clear" w:color="auto" w:fill="BFBFBF" w:themeFill="background1" w:themeFillShade="BF"/>
          </w:tcPr>
          <w:p w14:paraId="03DE3D8C"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Standard error</w:t>
            </w:r>
          </w:p>
        </w:tc>
        <w:tc>
          <w:tcPr>
            <w:tcW w:w="1909" w:type="dxa"/>
            <w:shd w:val="clear" w:color="auto" w:fill="BFBFBF" w:themeFill="background1" w:themeFillShade="BF"/>
          </w:tcPr>
          <w:p w14:paraId="7FEBE485"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t-value</w:t>
            </w:r>
          </w:p>
        </w:tc>
        <w:tc>
          <w:tcPr>
            <w:tcW w:w="1909" w:type="dxa"/>
            <w:shd w:val="clear" w:color="auto" w:fill="BFBFBF" w:themeFill="background1" w:themeFillShade="BF"/>
          </w:tcPr>
          <w:p w14:paraId="17AAB928"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p-value</w:t>
            </w:r>
          </w:p>
        </w:tc>
      </w:tr>
      <w:tr w:rsidR="002E7501" w:rsidRPr="00586285" w14:paraId="5BFE1E1B" w14:textId="77777777" w:rsidTr="00974F2A">
        <w:trPr>
          <w:trHeight w:val="458"/>
        </w:trPr>
        <w:tc>
          <w:tcPr>
            <w:tcW w:w="1908" w:type="dxa"/>
          </w:tcPr>
          <w:p w14:paraId="5E6283B5" w14:textId="77777777" w:rsidR="002E7501" w:rsidRPr="00586285" w:rsidRDefault="002E7501" w:rsidP="00974F2A">
            <w:pPr>
              <w:suppressAutoHyphens w:val="0"/>
              <w:spacing w:after="120"/>
              <w:rPr>
                <w:rFonts w:cs="Calibri"/>
                <w:i/>
                <w:iCs/>
                <w:sz w:val="24"/>
                <w:szCs w:val="24"/>
                <w:lang w:val="en-US"/>
              </w:rPr>
            </w:pPr>
            <w:r w:rsidRPr="00586285">
              <w:rPr>
                <w:rFonts w:cs="Calibri"/>
                <w:i/>
                <w:iCs/>
                <w:sz w:val="24"/>
                <w:szCs w:val="24"/>
                <w:lang w:val="en-US"/>
              </w:rPr>
              <w:t>Intercept</w:t>
            </w:r>
          </w:p>
        </w:tc>
        <w:tc>
          <w:tcPr>
            <w:tcW w:w="1908" w:type="dxa"/>
          </w:tcPr>
          <w:p w14:paraId="04639AA3"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6.23</w:t>
            </w:r>
          </w:p>
        </w:tc>
        <w:tc>
          <w:tcPr>
            <w:tcW w:w="1909" w:type="dxa"/>
          </w:tcPr>
          <w:p w14:paraId="7C30178F"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0.49</w:t>
            </w:r>
          </w:p>
        </w:tc>
        <w:tc>
          <w:tcPr>
            <w:tcW w:w="1909" w:type="dxa"/>
          </w:tcPr>
          <w:p w14:paraId="5C04B991"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12.78</w:t>
            </w:r>
          </w:p>
        </w:tc>
        <w:tc>
          <w:tcPr>
            <w:tcW w:w="1909" w:type="dxa"/>
          </w:tcPr>
          <w:p w14:paraId="3C4FC9D1"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&lt;0.001</w:t>
            </w:r>
          </w:p>
        </w:tc>
      </w:tr>
      <w:tr w:rsidR="002E7501" w:rsidRPr="00586285" w14:paraId="7DEA24EC" w14:textId="77777777" w:rsidTr="00974F2A">
        <w:trPr>
          <w:trHeight w:val="458"/>
        </w:trPr>
        <w:tc>
          <w:tcPr>
            <w:tcW w:w="1908" w:type="dxa"/>
          </w:tcPr>
          <w:p w14:paraId="3ED5E114" w14:textId="77777777" w:rsidR="002E7501" w:rsidRPr="00586285" w:rsidRDefault="002E7501" w:rsidP="00974F2A">
            <w:pPr>
              <w:suppressAutoHyphens w:val="0"/>
              <w:spacing w:after="120"/>
              <w:rPr>
                <w:rFonts w:cs="Calibri"/>
                <w:i/>
                <w:iCs/>
                <w:sz w:val="24"/>
                <w:szCs w:val="24"/>
                <w:lang w:val="en-US"/>
              </w:rPr>
            </w:pPr>
            <w:r w:rsidRPr="00586285">
              <w:rPr>
                <w:rFonts w:cs="Calibri"/>
                <w:i/>
                <w:iCs/>
                <w:sz w:val="24"/>
                <w:szCs w:val="24"/>
                <w:lang w:val="en-US"/>
              </w:rPr>
              <w:t>PTDM status</w:t>
            </w:r>
          </w:p>
        </w:tc>
        <w:tc>
          <w:tcPr>
            <w:tcW w:w="1908" w:type="dxa"/>
          </w:tcPr>
          <w:p w14:paraId="2E288BFE"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1.13</w:t>
            </w:r>
          </w:p>
        </w:tc>
        <w:tc>
          <w:tcPr>
            <w:tcW w:w="1909" w:type="dxa"/>
          </w:tcPr>
          <w:p w14:paraId="648F4CF0"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0.46</w:t>
            </w:r>
          </w:p>
        </w:tc>
        <w:tc>
          <w:tcPr>
            <w:tcW w:w="1909" w:type="dxa"/>
          </w:tcPr>
          <w:p w14:paraId="68877FD5"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2.45</w:t>
            </w:r>
          </w:p>
        </w:tc>
        <w:tc>
          <w:tcPr>
            <w:tcW w:w="1909" w:type="dxa"/>
          </w:tcPr>
          <w:p w14:paraId="313FF6C1"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0.02</w:t>
            </w:r>
          </w:p>
        </w:tc>
      </w:tr>
      <w:tr w:rsidR="002E7501" w:rsidRPr="00586285" w14:paraId="195C4453" w14:textId="77777777" w:rsidTr="00974F2A">
        <w:trPr>
          <w:trHeight w:val="458"/>
        </w:trPr>
        <w:tc>
          <w:tcPr>
            <w:tcW w:w="1908" w:type="dxa"/>
          </w:tcPr>
          <w:p w14:paraId="1A9777A2" w14:textId="77777777" w:rsidR="002E7501" w:rsidRPr="00586285" w:rsidRDefault="002E7501" w:rsidP="00974F2A">
            <w:pPr>
              <w:suppressAutoHyphens w:val="0"/>
              <w:spacing w:after="120"/>
              <w:rPr>
                <w:rFonts w:cs="Calibri"/>
                <w:i/>
                <w:iCs/>
                <w:sz w:val="24"/>
                <w:szCs w:val="24"/>
                <w:lang w:val="en-US"/>
              </w:rPr>
            </w:pPr>
            <w:r w:rsidRPr="00586285">
              <w:rPr>
                <w:rFonts w:cs="Calibri"/>
                <w:i/>
                <w:iCs/>
                <w:sz w:val="24"/>
                <w:szCs w:val="24"/>
                <w:lang w:val="en-US"/>
              </w:rPr>
              <w:t>Tacrolimus level</w:t>
            </w:r>
          </w:p>
        </w:tc>
        <w:tc>
          <w:tcPr>
            <w:tcW w:w="1908" w:type="dxa"/>
          </w:tcPr>
          <w:p w14:paraId="3FD54C1B"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0.04</w:t>
            </w:r>
          </w:p>
        </w:tc>
        <w:tc>
          <w:tcPr>
            <w:tcW w:w="1909" w:type="dxa"/>
          </w:tcPr>
          <w:p w14:paraId="74D581DF"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0.04</w:t>
            </w:r>
          </w:p>
        </w:tc>
        <w:tc>
          <w:tcPr>
            <w:tcW w:w="1909" w:type="dxa"/>
          </w:tcPr>
          <w:p w14:paraId="3DE42E97"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1.03</w:t>
            </w:r>
          </w:p>
        </w:tc>
        <w:tc>
          <w:tcPr>
            <w:tcW w:w="1909" w:type="dxa"/>
          </w:tcPr>
          <w:p w14:paraId="75DC23F4"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0.32</w:t>
            </w:r>
          </w:p>
        </w:tc>
      </w:tr>
      <w:tr w:rsidR="002E7501" w:rsidRPr="00586285" w14:paraId="68E4AEF8" w14:textId="77777777" w:rsidTr="00974F2A">
        <w:trPr>
          <w:trHeight w:val="458"/>
        </w:trPr>
        <w:tc>
          <w:tcPr>
            <w:tcW w:w="1908" w:type="dxa"/>
            <w:shd w:val="clear" w:color="auto" w:fill="D9D9D9" w:themeFill="background1" w:themeFillShade="D9"/>
          </w:tcPr>
          <w:p w14:paraId="03B5E139"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 xml:space="preserve">At 6 months </w:t>
            </w:r>
          </w:p>
        </w:tc>
        <w:tc>
          <w:tcPr>
            <w:tcW w:w="1908" w:type="dxa"/>
            <w:shd w:val="clear" w:color="auto" w:fill="D9D9D9" w:themeFill="background1" w:themeFillShade="D9"/>
          </w:tcPr>
          <w:p w14:paraId="738DFC9B"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Estimate</w:t>
            </w:r>
          </w:p>
        </w:tc>
        <w:tc>
          <w:tcPr>
            <w:tcW w:w="1909" w:type="dxa"/>
            <w:shd w:val="clear" w:color="auto" w:fill="D9D9D9" w:themeFill="background1" w:themeFillShade="D9"/>
          </w:tcPr>
          <w:p w14:paraId="2920A94A"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Standard error</w:t>
            </w:r>
          </w:p>
        </w:tc>
        <w:tc>
          <w:tcPr>
            <w:tcW w:w="1909" w:type="dxa"/>
            <w:shd w:val="clear" w:color="auto" w:fill="D9D9D9" w:themeFill="background1" w:themeFillShade="D9"/>
          </w:tcPr>
          <w:p w14:paraId="650B53C6"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t-value</w:t>
            </w:r>
          </w:p>
        </w:tc>
        <w:tc>
          <w:tcPr>
            <w:tcW w:w="1909" w:type="dxa"/>
            <w:shd w:val="clear" w:color="auto" w:fill="D9D9D9" w:themeFill="background1" w:themeFillShade="D9"/>
          </w:tcPr>
          <w:p w14:paraId="7E99AF3D"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p-value</w:t>
            </w:r>
          </w:p>
        </w:tc>
      </w:tr>
      <w:tr w:rsidR="002E7501" w:rsidRPr="00586285" w14:paraId="7C0E1BD2" w14:textId="77777777" w:rsidTr="00974F2A">
        <w:trPr>
          <w:trHeight w:val="458"/>
        </w:trPr>
        <w:tc>
          <w:tcPr>
            <w:tcW w:w="1908" w:type="dxa"/>
          </w:tcPr>
          <w:p w14:paraId="28194B05" w14:textId="77777777" w:rsidR="002E7501" w:rsidRPr="00586285" w:rsidRDefault="002E7501" w:rsidP="00974F2A">
            <w:pPr>
              <w:suppressAutoHyphens w:val="0"/>
              <w:spacing w:after="120"/>
              <w:rPr>
                <w:rFonts w:cs="Calibri"/>
                <w:i/>
                <w:iCs/>
                <w:sz w:val="24"/>
                <w:szCs w:val="24"/>
                <w:lang w:val="en-US"/>
              </w:rPr>
            </w:pPr>
            <w:r w:rsidRPr="00586285">
              <w:rPr>
                <w:rFonts w:cs="Calibri"/>
                <w:i/>
                <w:iCs/>
                <w:sz w:val="24"/>
                <w:szCs w:val="24"/>
                <w:lang w:val="en-US"/>
              </w:rPr>
              <w:t>Intercept</w:t>
            </w:r>
          </w:p>
        </w:tc>
        <w:tc>
          <w:tcPr>
            <w:tcW w:w="1908" w:type="dxa"/>
          </w:tcPr>
          <w:p w14:paraId="6D5FBA02"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6.16</w:t>
            </w:r>
          </w:p>
        </w:tc>
        <w:tc>
          <w:tcPr>
            <w:tcW w:w="1909" w:type="dxa"/>
          </w:tcPr>
          <w:p w14:paraId="0C6FCB9A"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0.66</w:t>
            </w:r>
          </w:p>
        </w:tc>
        <w:tc>
          <w:tcPr>
            <w:tcW w:w="1909" w:type="dxa"/>
          </w:tcPr>
          <w:p w14:paraId="37E28393"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9.41</w:t>
            </w:r>
          </w:p>
        </w:tc>
        <w:tc>
          <w:tcPr>
            <w:tcW w:w="1909" w:type="dxa"/>
          </w:tcPr>
          <w:p w14:paraId="07DE73D3"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&lt;0.001</w:t>
            </w:r>
          </w:p>
        </w:tc>
      </w:tr>
      <w:tr w:rsidR="002E7501" w:rsidRPr="00586285" w14:paraId="73F2E0A2" w14:textId="77777777" w:rsidTr="00974F2A">
        <w:trPr>
          <w:trHeight w:val="458"/>
        </w:trPr>
        <w:tc>
          <w:tcPr>
            <w:tcW w:w="1908" w:type="dxa"/>
          </w:tcPr>
          <w:p w14:paraId="444E5401" w14:textId="77777777" w:rsidR="002E7501" w:rsidRPr="00586285" w:rsidRDefault="002E7501" w:rsidP="00974F2A">
            <w:pPr>
              <w:suppressAutoHyphens w:val="0"/>
              <w:spacing w:after="120"/>
              <w:rPr>
                <w:rFonts w:cs="Calibri"/>
                <w:i/>
                <w:iCs/>
                <w:sz w:val="24"/>
                <w:szCs w:val="24"/>
                <w:lang w:val="en-US"/>
              </w:rPr>
            </w:pPr>
            <w:r w:rsidRPr="00586285">
              <w:rPr>
                <w:rFonts w:cs="Calibri"/>
                <w:i/>
                <w:iCs/>
                <w:sz w:val="24"/>
                <w:szCs w:val="24"/>
                <w:lang w:val="en-US"/>
              </w:rPr>
              <w:t>PTDM status</w:t>
            </w:r>
          </w:p>
        </w:tc>
        <w:tc>
          <w:tcPr>
            <w:tcW w:w="1908" w:type="dxa"/>
          </w:tcPr>
          <w:p w14:paraId="0BF98900"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1.38</w:t>
            </w:r>
          </w:p>
        </w:tc>
        <w:tc>
          <w:tcPr>
            <w:tcW w:w="1909" w:type="dxa"/>
          </w:tcPr>
          <w:p w14:paraId="7F098848"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0.58</w:t>
            </w:r>
          </w:p>
        </w:tc>
        <w:tc>
          <w:tcPr>
            <w:tcW w:w="1909" w:type="dxa"/>
          </w:tcPr>
          <w:p w14:paraId="2BBE36B5"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2.38</w:t>
            </w:r>
          </w:p>
        </w:tc>
        <w:tc>
          <w:tcPr>
            <w:tcW w:w="1909" w:type="dxa"/>
          </w:tcPr>
          <w:p w14:paraId="3B457DAB" w14:textId="77777777" w:rsidR="002E7501" w:rsidRPr="00586285" w:rsidRDefault="002E7501" w:rsidP="00974F2A">
            <w:pPr>
              <w:suppressAutoHyphens w:val="0"/>
              <w:spacing w:after="120"/>
              <w:rPr>
                <w:rFonts w:cs="Calibri"/>
                <w:b/>
                <w:bCs/>
                <w:sz w:val="24"/>
                <w:szCs w:val="24"/>
                <w:lang w:val="en-US"/>
              </w:rPr>
            </w:pPr>
            <w:r w:rsidRPr="00586285">
              <w:rPr>
                <w:rFonts w:cs="Calibri"/>
                <w:b/>
                <w:bCs/>
                <w:sz w:val="24"/>
                <w:szCs w:val="24"/>
                <w:lang w:val="en-US"/>
              </w:rPr>
              <w:t>0.02</w:t>
            </w:r>
          </w:p>
        </w:tc>
      </w:tr>
      <w:tr w:rsidR="002E7501" w:rsidRPr="00586285" w14:paraId="446B78A2" w14:textId="77777777" w:rsidTr="00974F2A">
        <w:trPr>
          <w:trHeight w:val="458"/>
        </w:trPr>
        <w:tc>
          <w:tcPr>
            <w:tcW w:w="1908" w:type="dxa"/>
          </w:tcPr>
          <w:p w14:paraId="47A0AD0C" w14:textId="77777777" w:rsidR="002E7501" w:rsidRPr="00586285" w:rsidRDefault="002E7501" w:rsidP="00974F2A">
            <w:pPr>
              <w:suppressAutoHyphens w:val="0"/>
              <w:spacing w:after="120"/>
              <w:rPr>
                <w:rFonts w:cs="Calibri"/>
                <w:i/>
                <w:iCs/>
                <w:sz w:val="24"/>
                <w:szCs w:val="24"/>
                <w:lang w:val="en-US"/>
              </w:rPr>
            </w:pPr>
            <w:r w:rsidRPr="00586285">
              <w:rPr>
                <w:rFonts w:cs="Calibri"/>
                <w:i/>
                <w:iCs/>
                <w:sz w:val="24"/>
                <w:szCs w:val="24"/>
                <w:lang w:val="en-US"/>
              </w:rPr>
              <w:t>Tacrolimus level</w:t>
            </w:r>
          </w:p>
        </w:tc>
        <w:tc>
          <w:tcPr>
            <w:tcW w:w="1908" w:type="dxa"/>
          </w:tcPr>
          <w:p w14:paraId="7A1B8B7C"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0.06</w:t>
            </w:r>
          </w:p>
        </w:tc>
        <w:tc>
          <w:tcPr>
            <w:tcW w:w="1909" w:type="dxa"/>
          </w:tcPr>
          <w:p w14:paraId="0DC303FE"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0.07</w:t>
            </w:r>
          </w:p>
        </w:tc>
        <w:tc>
          <w:tcPr>
            <w:tcW w:w="1909" w:type="dxa"/>
          </w:tcPr>
          <w:p w14:paraId="0D7CE924"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0.88</w:t>
            </w:r>
          </w:p>
        </w:tc>
        <w:tc>
          <w:tcPr>
            <w:tcW w:w="1909" w:type="dxa"/>
          </w:tcPr>
          <w:p w14:paraId="0C08B098" w14:textId="77777777" w:rsidR="002E7501" w:rsidRPr="00586285" w:rsidRDefault="002E7501" w:rsidP="00974F2A">
            <w:pPr>
              <w:suppressAutoHyphens w:val="0"/>
              <w:spacing w:after="120"/>
              <w:rPr>
                <w:rFonts w:cs="Calibri"/>
                <w:sz w:val="24"/>
                <w:szCs w:val="24"/>
                <w:lang w:val="en-US"/>
              </w:rPr>
            </w:pPr>
            <w:r w:rsidRPr="00586285">
              <w:rPr>
                <w:rFonts w:cs="Calibri"/>
                <w:sz w:val="24"/>
                <w:szCs w:val="24"/>
                <w:lang w:val="en-US"/>
              </w:rPr>
              <w:t>0.38</w:t>
            </w:r>
          </w:p>
        </w:tc>
      </w:tr>
    </w:tbl>
    <w:p w14:paraId="69FFA847" w14:textId="77777777" w:rsidR="002E7501" w:rsidRPr="00586285" w:rsidRDefault="002E7501" w:rsidP="002E7501">
      <w:pPr>
        <w:suppressAutoHyphens w:val="0"/>
        <w:spacing w:after="200"/>
        <w:rPr>
          <w:rFonts w:cs="Calibri"/>
          <w:sz w:val="24"/>
          <w:szCs w:val="24"/>
          <w:lang w:val="en-US"/>
        </w:rPr>
      </w:pPr>
    </w:p>
    <w:p w14:paraId="0FE7AC4C" w14:textId="77777777" w:rsidR="002E7501" w:rsidRPr="00586285" w:rsidRDefault="002E7501" w:rsidP="002E7501">
      <w:pPr>
        <w:suppressAutoHyphens w:val="0"/>
        <w:spacing w:after="200"/>
        <w:rPr>
          <w:rFonts w:cs="Calibri"/>
          <w:sz w:val="24"/>
          <w:szCs w:val="24"/>
          <w:lang w:val="en-US"/>
        </w:rPr>
      </w:pPr>
      <w:r w:rsidRPr="00586285">
        <w:rPr>
          <w:rFonts w:cs="Calibri"/>
          <w:sz w:val="24"/>
          <w:szCs w:val="24"/>
          <w:lang w:val="en-US"/>
        </w:rPr>
        <w:t>A multiple linear regression model was used to evaluate whether tacrolimus trough levels confounded the association between post-transplant diabetes mellitus (PTDM) and TTV-DNA plasma loads at 3 and 6 months after kidney transplantation. The dependent variables were TTV-DNA plasma load at either 3 months or 6 months, while the independent variables included PTDM status and the tacrolimus trough levels at the respective time points.</w:t>
      </w:r>
      <w:r w:rsidRPr="00586285">
        <w:t xml:space="preserve"> </w:t>
      </w:r>
      <w:r w:rsidRPr="00586285">
        <w:rPr>
          <w:rFonts w:cs="Calibri"/>
          <w:sz w:val="24"/>
          <w:szCs w:val="24"/>
          <w:lang w:val="en-US"/>
        </w:rPr>
        <w:t xml:space="preserve">PTDM status remained significantly associated with higher TTV-DNA plasma loads after inclusion of tacrolimus trough levels as a potential confounding variable. </w:t>
      </w:r>
      <w:r w:rsidRPr="00586285">
        <w:rPr>
          <w:rFonts w:cs="Calibri"/>
          <w:sz w:val="24"/>
          <w:szCs w:val="24"/>
        </w:rPr>
        <w:t>Statistically significant p-values (</w:t>
      </w:r>
      <w:r w:rsidRPr="00586285">
        <w:rPr>
          <w:bCs/>
          <w:sz w:val="24"/>
          <w:szCs w:val="24"/>
          <w:lang w:val="en-US"/>
        </w:rPr>
        <w:t>p-value &lt;0.05)</w:t>
      </w:r>
      <w:r w:rsidRPr="00586285">
        <w:rPr>
          <w:rFonts w:cs="Calibri"/>
          <w:sz w:val="24"/>
          <w:szCs w:val="24"/>
        </w:rPr>
        <w:t xml:space="preserve"> are highlighted in bold.</w:t>
      </w:r>
      <w:r w:rsidRPr="00586285">
        <w:rPr>
          <w:rFonts w:cs="Calibri"/>
          <w:sz w:val="24"/>
          <w:szCs w:val="24"/>
        </w:rPr>
        <w:br w:type="page"/>
      </w:r>
    </w:p>
    <w:p w14:paraId="45C9A6CB" w14:textId="77777777" w:rsidR="002E7501" w:rsidRPr="00586285" w:rsidRDefault="002E7501" w:rsidP="002E7501">
      <w:pPr>
        <w:spacing w:after="120"/>
        <w:rPr>
          <w:b/>
          <w:bCs/>
          <w:sz w:val="24"/>
          <w:szCs w:val="24"/>
          <w:lang w:val="en-US"/>
        </w:rPr>
      </w:pPr>
      <w:r w:rsidRPr="00586285">
        <w:rPr>
          <w:b/>
          <w:bCs/>
          <w:sz w:val="24"/>
          <w:szCs w:val="24"/>
          <w:lang w:val="en-US"/>
        </w:rPr>
        <w:lastRenderedPageBreak/>
        <w:t>Supplementary Table 3: Estimated effects of age on TTV-DNA plasma load based on linear regression analysis</w:t>
      </w:r>
    </w:p>
    <w:tbl>
      <w:tblPr>
        <w:tblStyle w:val="Tabellenraster"/>
        <w:tblW w:w="6260" w:type="dxa"/>
        <w:tblLayout w:type="fixed"/>
        <w:tblLook w:val="04A0" w:firstRow="1" w:lastRow="0" w:firstColumn="1" w:lastColumn="0" w:noHBand="0" w:noVBand="1"/>
      </w:tblPr>
      <w:tblGrid>
        <w:gridCol w:w="1878"/>
        <w:gridCol w:w="2191"/>
        <w:gridCol w:w="2191"/>
      </w:tblGrid>
      <w:tr w:rsidR="002E7501" w:rsidRPr="00586285" w14:paraId="01107FB5" w14:textId="77777777" w:rsidTr="00974F2A">
        <w:trPr>
          <w:trHeight w:val="460"/>
        </w:trPr>
        <w:tc>
          <w:tcPr>
            <w:tcW w:w="1878" w:type="dxa"/>
            <w:shd w:val="clear" w:color="auto" w:fill="BFBFBF" w:themeFill="background1" w:themeFillShade="BF"/>
          </w:tcPr>
          <w:p w14:paraId="641082A6" w14:textId="77777777" w:rsidR="002E7501" w:rsidRPr="00586285" w:rsidRDefault="002E7501" w:rsidP="00974F2A">
            <w:pPr>
              <w:suppressAutoHyphens w:val="0"/>
              <w:spacing w:after="0" w:line="240" w:lineRule="auto"/>
              <w:jc w:val="left"/>
              <w:rPr>
                <w:rFonts w:asciiTheme="minorHAnsi" w:eastAsiaTheme="minorHAnsi" w:hAnsiTheme="minorHAnsi"/>
                <w:b/>
                <w:bCs/>
                <w:kern w:val="2"/>
                <w:lang w:val="en-US"/>
                <w14:ligatures w14:val="standardContextual"/>
              </w:rPr>
            </w:pPr>
          </w:p>
        </w:tc>
        <w:tc>
          <w:tcPr>
            <w:tcW w:w="2191" w:type="dxa"/>
            <w:shd w:val="clear" w:color="auto" w:fill="BFBFBF" w:themeFill="background1" w:themeFillShade="BF"/>
          </w:tcPr>
          <w:p w14:paraId="68711064" w14:textId="77777777" w:rsidR="002E7501" w:rsidRPr="00586285" w:rsidRDefault="002E7501" w:rsidP="00974F2A">
            <w:pPr>
              <w:suppressAutoHyphens w:val="0"/>
              <w:spacing w:after="0" w:line="240" w:lineRule="auto"/>
              <w:jc w:val="center"/>
              <w:rPr>
                <w:rFonts w:asciiTheme="minorHAnsi" w:eastAsiaTheme="minorHAnsi" w:hAnsiTheme="minorHAnsi"/>
                <w:b/>
                <w:bCs/>
                <w:kern w:val="2"/>
                <w:lang w:val="en-US"/>
                <w14:ligatures w14:val="standardContextual"/>
              </w:rPr>
            </w:pPr>
            <w:r w:rsidRPr="00586285">
              <w:rPr>
                <w:rFonts w:asciiTheme="minorHAnsi" w:eastAsiaTheme="minorHAnsi" w:hAnsiTheme="minorHAnsi"/>
                <w:b/>
                <w:bCs/>
                <w:kern w:val="2"/>
                <w:lang w:val="en-US"/>
                <w14:ligatures w14:val="standardContextual"/>
              </w:rPr>
              <w:t xml:space="preserve">Age </w:t>
            </w:r>
          </w:p>
        </w:tc>
        <w:tc>
          <w:tcPr>
            <w:tcW w:w="2191" w:type="dxa"/>
            <w:shd w:val="clear" w:color="auto" w:fill="BFBFBF" w:themeFill="background1" w:themeFillShade="BF"/>
          </w:tcPr>
          <w:p w14:paraId="548EB05B" w14:textId="77777777" w:rsidR="002E7501" w:rsidRPr="00586285" w:rsidRDefault="002E7501" w:rsidP="00974F2A">
            <w:pPr>
              <w:suppressAutoHyphens w:val="0"/>
              <w:spacing w:after="0" w:line="240" w:lineRule="auto"/>
              <w:jc w:val="center"/>
              <w:rPr>
                <w:rFonts w:asciiTheme="minorHAnsi" w:eastAsiaTheme="minorHAnsi" w:hAnsiTheme="minorHAnsi"/>
                <w:b/>
                <w:bCs/>
                <w:kern w:val="2"/>
                <w:lang w:val="en-US"/>
                <w14:ligatures w14:val="standardContextual"/>
              </w:rPr>
            </w:pPr>
            <w:r w:rsidRPr="00586285">
              <w:rPr>
                <w:rFonts w:asciiTheme="minorHAnsi" w:eastAsiaTheme="minorHAnsi" w:hAnsiTheme="minorHAnsi"/>
                <w:b/>
                <w:bCs/>
                <w:kern w:val="2"/>
                <w:lang w:val="en-US"/>
                <w14:ligatures w14:val="standardContextual"/>
              </w:rPr>
              <w:t>Predicted TTV-DNA load (log₁₀ copies/ml)</w:t>
            </w:r>
          </w:p>
        </w:tc>
      </w:tr>
      <w:tr w:rsidR="002E7501" w:rsidRPr="00586285" w14:paraId="3BBB962C" w14:textId="77777777" w:rsidTr="00974F2A">
        <w:trPr>
          <w:trHeight w:val="460"/>
        </w:trPr>
        <w:tc>
          <w:tcPr>
            <w:tcW w:w="1878" w:type="dxa"/>
          </w:tcPr>
          <w:p w14:paraId="710004C3" w14:textId="77777777" w:rsidR="002E7501" w:rsidRPr="00586285" w:rsidRDefault="002E7501" w:rsidP="00974F2A">
            <w:pPr>
              <w:suppressAutoHyphens w:val="0"/>
              <w:spacing w:after="0" w:line="240" w:lineRule="auto"/>
              <w:jc w:val="left"/>
              <w:rPr>
                <w:rFonts w:asciiTheme="minorHAnsi" w:eastAsiaTheme="minorHAnsi" w:hAnsiTheme="minorHAnsi"/>
                <w:i/>
                <w:iCs/>
                <w:kern w:val="2"/>
                <w:lang w:val="en-US"/>
                <w14:ligatures w14:val="standardContextual"/>
              </w:rPr>
            </w:pPr>
            <w:r w:rsidRPr="00586285">
              <w:rPr>
                <w:rFonts w:asciiTheme="minorHAnsi" w:eastAsiaTheme="minorHAnsi" w:hAnsiTheme="minorHAnsi"/>
                <w:b/>
                <w:bCs/>
                <w:kern w:val="2"/>
                <w:lang w:val="en-US"/>
                <w14:ligatures w14:val="standardContextual"/>
              </w:rPr>
              <w:t>PTDM group</w:t>
            </w:r>
          </w:p>
        </w:tc>
        <w:tc>
          <w:tcPr>
            <w:tcW w:w="2191" w:type="dxa"/>
          </w:tcPr>
          <w:p w14:paraId="28C3AE05" w14:textId="77777777" w:rsidR="002E7501" w:rsidRPr="00586285" w:rsidRDefault="002E7501" w:rsidP="00974F2A">
            <w:pPr>
              <w:suppressAutoHyphens w:val="0"/>
              <w:spacing w:after="0" w:line="240" w:lineRule="auto"/>
              <w:jc w:val="center"/>
              <w:rPr>
                <w:rFonts w:asciiTheme="minorHAnsi" w:eastAsiaTheme="minorHAnsi" w:hAnsiTheme="minorHAnsi"/>
                <w:kern w:val="2"/>
                <w:lang w:val="en-US"/>
                <w14:ligatures w14:val="standardContextual"/>
              </w:rPr>
            </w:pPr>
            <w:r w:rsidRPr="00586285">
              <w:rPr>
                <w:rFonts w:asciiTheme="minorHAnsi" w:eastAsiaTheme="minorHAnsi" w:hAnsiTheme="minorHAnsi"/>
                <w:iCs/>
                <w:kern w:val="2"/>
                <w:lang w:val="en-US"/>
                <w14:ligatures w14:val="standardContextual"/>
              </w:rPr>
              <w:t xml:space="preserve">62 </w:t>
            </w:r>
            <w:r w:rsidRPr="00586285">
              <w:rPr>
                <w:rFonts w:asciiTheme="minorHAnsi" w:eastAsiaTheme="minorHAnsi" w:hAnsiTheme="minorHAnsi"/>
                <w:iCs/>
                <w:kern w:val="2"/>
                <w:lang w:val="en-US"/>
                <w14:ligatures w14:val="standardContextual"/>
              </w:rPr>
              <w:sym w:font="Symbol" w:char="F05B"/>
            </w:r>
            <w:r w:rsidRPr="00586285">
              <w:rPr>
                <w:rFonts w:asciiTheme="minorHAnsi" w:eastAsiaTheme="minorHAnsi" w:hAnsiTheme="minorHAnsi"/>
                <w:iCs/>
                <w:kern w:val="2"/>
                <w:lang w:val="en-US"/>
                <w14:ligatures w14:val="standardContextual"/>
              </w:rPr>
              <w:t>57-66</w:t>
            </w:r>
            <w:r w:rsidRPr="00586285">
              <w:rPr>
                <w:rFonts w:asciiTheme="minorHAnsi" w:eastAsiaTheme="minorHAnsi" w:hAnsiTheme="minorHAnsi"/>
                <w:iCs/>
                <w:kern w:val="2"/>
                <w:lang w:val="en-US"/>
                <w14:ligatures w14:val="standardContextual"/>
              </w:rPr>
              <w:sym w:font="Symbol" w:char="F05D"/>
            </w:r>
          </w:p>
        </w:tc>
        <w:tc>
          <w:tcPr>
            <w:tcW w:w="2191" w:type="dxa"/>
          </w:tcPr>
          <w:p w14:paraId="75F7BA86" w14:textId="77777777" w:rsidR="002E7501" w:rsidRPr="00586285" w:rsidRDefault="002E7501" w:rsidP="00974F2A">
            <w:pPr>
              <w:suppressAutoHyphens w:val="0"/>
              <w:spacing w:after="0" w:line="240" w:lineRule="auto"/>
              <w:jc w:val="center"/>
              <w:rPr>
                <w:rFonts w:asciiTheme="minorHAnsi" w:eastAsiaTheme="minorHAnsi" w:hAnsiTheme="minorHAnsi"/>
                <w:iCs/>
                <w:kern w:val="2"/>
                <w:lang w:val="en-US"/>
                <w14:ligatures w14:val="standardContextual"/>
              </w:rPr>
            </w:pPr>
            <w:r w:rsidRPr="00586285">
              <w:rPr>
                <w:rFonts w:asciiTheme="minorHAnsi" w:eastAsiaTheme="minorHAnsi" w:hAnsiTheme="minorHAnsi"/>
                <w:iCs/>
                <w:kern w:val="2"/>
                <w:lang w:val="en-US"/>
                <w14:ligatures w14:val="standardContextual"/>
              </w:rPr>
              <w:t xml:space="preserve">5.68 </w:t>
            </w:r>
            <w:r w:rsidRPr="00586285">
              <w:rPr>
                <w:rFonts w:asciiTheme="minorHAnsi" w:eastAsiaTheme="minorHAnsi" w:hAnsiTheme="minorHAnsi"/>
                <w:iCs/>
                <w:kern w:val="2"/>
                <w:lang w:val="en-US"/>
                <w14:ligatures w14:val="standardContextual"/>
              </w:rPr>
              <w:sym w:font="Symbol" w:char="F05B"/>
            </w:r>
            <w:r w:rsidRPr="00586285">
              <w:rPr>
                <w:rFonts w:asciiTheme="minorHAnsi" w:eastAsiaTheme="minorHAnsi" w:hAnsiTheme="minorHAnsi"/>
                <w:iCs/>
                <w:kern w:val="2"/>
                <w:lang w:val="en-US"/>
                <w14:ligatures w14:val="standardContextual"/>
              </w:rPr>
              <w:t>5.58-5.76</w:t>
            </w:r>
            <w:r w:rsidRPr="00586285">
              <w:rPr>
                <w:rFonts w:asciiTheme="minorHAnsi" w:eastAsiaTheme="minorHAnsi" w:hAnsiTheme="minorHAnsi"/>
                <w:iCs/>
                <w:kern w:val="2"/>
                <w:lang w:val="en-US"/>
                <w14:ligatures w14:val="standardContextual"/>
              </w:rPr>
              <w:sym w:font="Symbol" w:char="F05D"/>
            </w:r>
          </w:p>
        </w:tc>
      </w:tr>
      <w:tr w:rsidR="002E7501" w:rsidRPr="00586285" w14:paraId="1BD0DFEC" w14:textId="77777777" w:rsidTr="00974F2A">
        <w:trPr>
          <w:trHeight w:val="561"/>
        </w:trPr>
        <w:tc>
          <w:tcPr>
            <w:tcW w:w="1878" w:type="dxa"/>
          </w:tcPr>
          <w:p w14:paraId="267CFA9D" w14:textId="77777777" w:rsidR="002E7501" w:rsidRPr="00586285" w:rsidRDefault="002E7501" w:rsidP="00974F2A">
            <w:pPr>
              <w:suppressAutoHyphens w:val="0"/>
              <w:spacing w:after="0" w:line="240" w:lineRule="auto"/>
              <w:jc w:val="left"/>
              <w:rPr>
                <w:rFonts w:asciiTheme="minorHAnsi" w:eastAsiaTheme="minorHAnsi" w:hAnsiTheme="minorHAnsi"/>
                <w:i/>
                <w:iCs/>
                <w:kern w:val="2"/>
                <w:lang w:val="en-US"/>
                <w14:ligatures w14:val="standardContextual"/>
              </w:rPr>
            </w:pPr>
            <w:r w:rsidRPr="00586285">
              <w:rPr>
                <w:rFonts w:asciiTheme="minorHAnsi" w:eastAsiaTheme="minorHAnsi" w:hAnsiTheme="minorHAnsi"/>
                <w:b/>
                <w:bCs/>
                <w:kern w:val="2"/>
                <w:lang w:val="en-US"/>
                <w14:ligatures w14:val="standardContextual"/>
              </w:rPr>
              <w:t>Without DM</w:t>
            </w:r>
          </w:p>
        </w:tc>
        <w:tc>
          <w:tcPr>
            <w:tcW w:w="2191" w:type="dxa"/>
          </w:tcPr>
          <w:p w14:paraId="23A730B4" w14:textId="77777777" w:rsidR="002E7501" w:rsidRPr="00586285" w:rsidRDefault="002E7501" w:rsidP="00974F2A">
            <w:pPr>
              <w:suppressAutoHyphens w:val="0"/>
              <w:spacing w:after="0" w:line="240" w:lineRule="auto"/>
              <w:jc w:val="center"/>
              <w:rPr>
                <w:rFonts w:asciiTheme="minorHAnsi" w:eastAsiaTheme="minorHAnsi" w:hAnsiTheme="minorHAnsi"/>
                <w:kern w:val="2"/>
                <w:lang w:val="en-US"/>
                <w14:ligatures w14:val="standardContextual"/>
              </w:rPr>
            </w:pPr>
            <w:r w:rsidRPr="00586285">
              <w:rPr>
                <w:rFonts w:asciiTheme="minorHAnsi" w:eastAsiaTheme="minorHAnsi" w:hAnsiTheme="minorHAnsi"/>
                <w:iCs/>
                <w:kern w:val="2"/>
                <w:lang w:val="en-US"/>
                <w14:ligatures w14:val="standardContextual"/>
              </w:rPr>
              <w:t xml:space="preserve">51 </w:t>
            </w:r>
            <w:r w:rsidRPr="00586285">
              <w:rPr>
                <w:rFonts w:asciiTheme="minorHAnsi" w:eastAsiaTheme="minorHAnsi" w:hAnsiTheme="minorHAnsi"/>
                <w:iCs/>
                <w:kern w:val="2"/>
                <w:lang w:val="en-US"/>
                <w14:ligatures w14:val="standardContextual"/>
              </w:rPr>
              <w:sym w:font="Symbol" w:char="F05B"/>
            </w:r>
            <w:r w:rsidRPr="00586285">
              <w:rPr>
                <w:rFonts w:asciiTheme="minorHAnsi" w:eastAsiaTheme="minorHAnsi" w:hAnsiTheme="minorHAnsi"/>
                <w:iCs/>
                <w:kern w:val="2"/>
                <w:lang w:val="en-US"/>
                <w14:ligatures w14:val="standardContextual"/>
              </w:rPr>
              <w:t>36-62</w:t>
            </w:r>
            <w:r w:rsidRPr="00586285">
              <w:rPr>
                <w:rFonts w:asciiTheme="minorHAnsi" w:eastAsiaTheme="minorHAnsi" w:hAnsiTheme="minorHAnsi"/>
                <w:iCs/>
                <w:kern w:val="2"/>
                <w:lang w:val="en-US"/>
                <w14:ligatures w14:val="standardContextual"/>
              </w:rPr>
              <w:sym w:font="Symbol" w:char="F05D"/>
            </w:r>
          </w:p>
        </w:tc>
        <w:tc>
          <w:tcPr>
            <w:tcW w:w="2191" w:type="dxa"/>
          </w:tcPr>
          <w:p w14:paraId="600430CC" w14:textId="77777777" w:rsidR="002E7501" w:rsidRPr="00586285" w:rsidRDefault="002E7501" w:rsidP="00974F2A">
            <w:pPr>
              <w:suppressAutoHyphens w:val="0"/>
              <w:spacing w:after="0" w:line="240" w:lineRule="auto"/>
              <w:jc w:val="center"/>
              <w:rPr>
                <w:rFonts w:asciiTheme="minorHAnsi" w:eastAsiaTheme="minorHAnsi" w:hAnsiTheme="minorHAnsi"/>
                <w:kern w:val="2"/>
                <w:lang w:val="en-US"/>
                <w14:ligatures w14:val="standardContextual"/>
              </w:rPr>
            </w:pPr>
            <w:r w:rsidRPr="00586285">
              <w:rPr>
                <w:rFonts w:asciiTheme="minorHAnsi" w:eastAsiaTheme="minorHAnsi" w:hAnsiTheme="minorHAnsi"/>
                <w:iCs/>
                <w:kern w:val="2"/>
                <w:lang w:val="en-US"/>
                <w14:ligatures w14:val="standardContextual"/>
              </w:rPr>
              <w:t xml:space="preserve">5.46 </w:t>
            </w:r>
            <w:r w:rsidRPr="00586285">
              <w:rPr>
                <w:rFonts w:asciiTheme="minorHAnsi" w:eastAsiaTheme="minorHAnsi" w:hAnsiTheme="minorHAnsi"/>
                <w:iCs/>
                <w:kern w:val="2"/>
                <w:lang w:val="en-US"/>
                <w14:ligatures w14:val="standardContextual"/>
              </w:rPr>
              <w:sym w:font="Symbol" w:char="F05B"/>
            </w:r>
            <w:r w:rsidRPr="00586285">
              <w:rPr>
                <w:rFonts w:asciiTheme="minorHAnsi" w:eastAsiaTheme="minorHAnsi" w:hAnsiTheme="minorHAnsi"/>
                <w:iCs/>
                <w:kern w:val="2"/>
                <w:lang w:val="en-US"/>
                <w14:ligatures w14:val="standardContextual"/>
              </w:rPr>
              <w:t>5.16-5.58</w:t>
            </w:r>
            <w:r w:rsidRPr="00586285">
              <w:rPr>
                <w:rFonts w:asciiTheme="minorHAnsi" w:eastAsiaTheme="minorHAnsi" w:hAnsiTheme="minorHAnsi"/>
                <w:iCs/>
                <w:kern w:val="2"/>
                <w:lang w:val="en-US"/>
                <w14:ligatures w14:val="standardContextual"/>
              </w:rPr>
              <w:sym w:font="Symbol" w:char="F05D"/>
            </w:r>
          </w:p>
        </w:tc>
      </w:tr>
      <w:tr w:rsidR="002E7501" w:rsidRPr="00586285" w14:paraId="7D833BA3" w14:textId="77777777" w:rsidTr="00974F2A">
        <w:trPr>
          <w:trHeight w:val="460"/>
        </w:trPr>
        <w:tc>
          <w:tcPr>
            <w:tcW w:w="1878" w:type="dxa"/>
          </w:tcPr>
          <w:p w14:paraId="372B2419" w14:textId="77777777" w:rsidR="002E7501" w:rsidRPr="00586285" w:rsidRDefault="002E7501" w:rsidP="00974F2A">
            <w:pPr>
              <w:suppressAutoHyphens w:val="0"/>
              <w:spacing w:after="0" w:line="240" w:lineRule="auto"/>
              <w:jc w:val="left"/>
              <w:rPr>
                <w:rFonts w:asciiTheme="minorHAnsi" w:eastAsiaTheme="minorHAnsi" w:hAnsiTheme="minorHAnsi"/>
                <w:b/>
                <w:bCs/>
                <w:kern w:val="2"/>
                <w:lang w:val="en-US"/>
                <w14:ligatures w14:val="standardContextual"/>
              </w:rPr>
            </w:pPr>
            <w:r w:rsidRPr="00586285">
              <w:rPr>
                <w:rFonts w:asciiTheme="minorHAnsi" w:eastAsiaTheme="minorHAnsi" w:hAnsiTheme="minorHAnsi"/>
                <w:b/>
                <w:bCs/>
                <w:kern w:val="2"/>
                <w:lang w:val="en-US"/>
                <w14:ligatures w14:val="standardContextual"/>
              </w:rPr>
              <w:t>Difference</w:t>
            </w:r>
          </w:p>
        </w:tc>
        <w:tc>
          <w:tcPr>
            <w:tcW w:w="2191" w:type="dxa"/>
          </w:tcPr>
          <w:p w14:paraId="0D1491E0" w14:textId="77777777" w:rsidR="002E7501" w:rsidRPr="00586285" w:rsidRDefault="002E7501" w:rsidP="00974F2A">
            <w:pPr>
              <w:suppressAutoHyphens w:val="0"/>
              <w:spacing w:after="0" w:line="240" w:lineRule="auto"/>
              <w:jc w:val="center"/>
              <w:rPr>
                <w:rFonts w:asciiTheme="minorHAnsi" w:eastAsiaTheme="minorHAnsi" w:hAnsiTheme="minorHAnsi"/>
                <w:iCs/>
                <w:kern w:val="2"/>
                <w:lang w:val="en-US"/>
                <w14:ligatures w14:val="standardContextual"/>
              </w:rPr>
            </w:pPr>
            <w:r w:rsidRPr="00586285">
              <w:rPr>
                <w:rFonts w:asciiTheme="minorHAnsi" w:eastAsiaTheme="minorHAnsi" w:hAnsiTheme="minorHAnsi"/>
                <w:iCs/>
                <w:kern w:val="2"/>
                <w:lang w:val="en-US"/>
                <w14:ligatures w14:val="standardContextual"/>
              </w:rPr>
              <w:t xml:space="preserve">11 </w:t>
            </w:r>
          </w:p>
        </w:tc>
        <w:tc>
          <w:tcPr>
            <w:tcW w:w="2191" w:type="dxa"/>
          </w:tcPr>
          <w:p w14:paraId="692CFA17" w14:textId="77777777" w:rsidR="002E7501" w:rsidRPr="00586285" w:rsidRDefault="002E7501" w:rsidP="00974F2A">
            <w:pPr>
              <w:suppressAutoHyphens w:val="0"/>
              <w:spacing w:after="0" w:line="240" w:lineRule="auto"/>
              <w:jc w:val="center"/>
              <w:rPr>
                <w:rFonts w:asciiTheme="minorHAnsi" w:eastAsiaTheme="minorHAnsi" w:hAnsiTheme="minorHAnsi"/>
                <w:iCs/>
                <w:kern w:val="2"/>
                <w:lang w:val="en-US"/>
                <w14:ligatures w14:val="standardContextual"/>
              </w:rPr>
            </w:pPr>
            <w:r w:rsidRPr="00586285">
              <w:rPr>
                <w:rFonts w:asciiTheme="minorHAnsi" w:eastAsiaTheme="minorHAnsi" w:hAnsiTheme="minorHAnsi"/>
                <w:iCs/>
                <w:kern w:val="2"/>
                <w:lang w:val="en-US"/>
                <w14:ligatures w14:val="standardContextual"/>
              </w:rPr>
              <w:t>0.22</w:t>
            </w:r>
          </w:p>
        </w:tc>
      </w:tr>
    </w:tbl>
    <w:p w14:paraId="2E93E303" w14:textId="77777777" w:rsidR="002E7501" w:rsidRPr="00586285" w:rsidRDefault="002E7501" w:rsidP="002E7501">
      <w:pPr>
        <w:spacing w:after="120"/>
        <w:rPr>
          <w:sz w:val="24"/>
          <w:szCs w:val="24"/>
          <w:lang w:val="en-US"/>
        </w:rPr>
      </w:pPr>
    </w:p>
    <w:p w14:paraId="7A78BB3C" w14:textId="77777777" w:rsidR="002E7501" w:rsidRPr="00586285" w:rsidRDefault="002E7501" w:rsidP="002E7501">
      <w:pPr>
        <w:spacing w:after="120"/>
        <w:rPr>
          <w:sz w:val="16"/>
          <w:szCs w:val="16"/>
          <w:lang w:val="en-US"/>
        </w:rPr>
      </w:pPr>
      <w:r w:rsidRPr="00586285">
        <w:rPr>
          <w:sz w:val="24"/>
          <w:szCs w:val="24"/>
          <w:lang w:val="en-US"/>
        </w:rPr>
        <w:t>To assess the potential influence of age on TTV-</w:t>
      </w:r>
      <w:proofErr w:type="spellStart"/>
      <w:r w:rsidRPr="00586285">
        <w:rPr>
          <w:sz w:val="24"/>
          <w:szCs w:val="24"/>
          <w:lang w:val="en-US"/>
        </w:rPr>
        <w:t>DNAemia</w:t>
      </w:r>
      <w:proofErr w:type="spellEnd"/>
      <w:r w:rsidRPr="00586285">
        <w:rPr>
          <w:sz w:val="24"/>
          <w:szCs w:val="24"/>
          <w:lang w:val="en-US"/>
        </w:rPr>
        <w:t xml:space="preserve"> levels, a linear regression model was calculated with TTV-DNA plasma loads as the dependent variable and age as the independent variable. The resulting regression equation was:</w:t>
      </w:r>
    </w:p>
    <w:p w14:paraId="04B3E223" w14:textId="77777777" w:rsidR="002E7501" w:rsidRPr="00586285" w:rsidRDefault="002E7501" w:rsidP="002E7501">
      <w:pPr>
        <w:spacing w:after="120"/>
        <w:rPr>
          <w:sz w:val="24"/>
          <w:szCs w:val="24"/>
          <w:lang w:val="en-US"/>
        </w:rPr>
      </w:pPr>
      <m:oMathPara>
        <m:oMath>
          <m:r>
            <w:rPr>
              <w:rFonts w:ascii="Cambria Math" w:hAnsi="Cambria Math"/>
              <w:sz w:val="24"/>
              <w:szCs w:val="24"/>
              <w:lang w:val="en-US"/>
            </w:rPr>
            <m:t>TTV level (log₁₀ copies/ml) =4.44 +0.02 ×Age (years)</m:t>
          </m:r>
        </m:oMath>
      </m:oMathPara>
    </w:p>
    <w:p w14:paraId="03F71D94" w14:textId="77777777" w:rsidR="002E7501" w:rsidRPr="00F33975" w:rsidRDefault="002E7501" w:rsidP="002E7501">
      <w:pPr>
        <w:spacing w:after="120"/>
        <w:rPr>
          <w:sz w:val="24"/>
          <w:szCs w:val="24"/>
          <w:lang w:val="en-US"/>
        </w:rPr>
      </w:pPr>
      <w:r w:rsidRPr="00586285">
        <w:rPr>
          <w:sz w:val="24"/>
          <w:szCs w:val="24"/>
          <w:lang w:val="en-US"/>
        </w:rPr>
        <w:t>This equation was then used to estimate age-related effects on TTV-</w:t>
      </w:r>
      <w:proofErr w:type="spellStart"/>
      <w:r w:rsidRPr="00586285">
        <w:rPr>
          <w:sz w:val="24"/>
          <w:szCs w:val="24"/>
          <w:lang w:val="en-US"/>
        </w:rPr>
        <w:t>DNAemia</w:t>
      </w:r>
      <w:proofErr w:type="spellEnd"/>
      <w:r w:rsidRPr="00586285">
        <w:rPr>
          <w:sz w:val="24"/>
          <w:szCs w:val="24"/>
          <w:lang w:val="en-US"/>
        </w:rPr>
        <w:t xml:space="preserve"> for each time point. For this purpose, the median age of the </w:t>
      </w:r>
      <w:r w:rsidRPr="00586285">
        <w:rPr>
          <w:rFonts w:cs="Calibri"/>
          <w:sz w:val="24"/>
          <w:szCs w:val="24"/>
          <w:lang w:val="en-US"/>
        </w:rPr>
        <w:t>post-transplant diabetes mellitus (</w:t>
      </w:r>
      <w:r w:rsidRPr="00586285">
        <w:rPr>
          <w:sz w:val="24"/>
          <w:szCs w:val="24"/>
          <w:lang w:val="en-US"/>
        </w:rPr>
        <w:t>PTDM) group and the median age of the non-PTDM group at 3, 6, and 12 months were added to the equation to calculate the corresponding predicted TTV-DNA plasma loads. In the table, the last row represents the difference between the median values of patients with PTDM and without diabetes mellitus (DM).</w:t>
      </w:r>
    </w:p>
    <w:p w14:paraId="73A371CB" w14:textId="77777777" w:rsidR="00FB37BB" w:rsidRDefault="00FB37BB"/>
    <w:sectPr w:rsidR="00FB37BB" w:rsidSect="002E7501">
      <w:footerReference w:type="default" r:id="rId8"/>
      <w:pgSz w:w="11906" w:h="16838"/>
      <w:pgMar w:top="1134" w:right="1417" w:bottom="1417" w:left="1417"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1460994"/>
      <w:docPartObj>
        <w:docPartGallery w:val="Page Numbers (Bottom of Page)"/>
        <w:docPartUnique/>
      </w:docPartObj>
    </w:sdtPr>
    <w:sdtEndPr/>
    <w:sdtContent>
      <w:p w14:paraId="61B1C253" w14:textId="77777777" w:rsidR="002E7501" w:rsidRDefault="002E7501">
        <w:pPr>
          <w:pStyle w:val="Fuzeile"/>
          <w:jc w:val="right"/>
        </w:pPr>
        <w:r>
          <w:fldChar w:fldCharType="begin"/>
        </w:r>
        <w:r>
          <w:instrText>PAGE   \* MERGEFORMAT</w:instrText>
        </w:r>
        <w:r>
          <w:fldChar w:fldCharType="separate"/>
        </w:r>
        <w:r w:rsidRPr="00B23D78">
          <w:rPr>
            <w:noProof/>
            <w:lang w:val="de-DE"/>
          </w:rPr>
          <w:t>39</w:t>
        </w:r>
        <w:r>
          <w:fldChar w:fldCharType="end"/>
        </w:r>
      </w:p>
    </w:sdtContent>
  </w:sdt>
  <w:p w14:paraId="7B78DC1D" w14:textId="77777777" w:rsidR="002E7501" w:rsidRDefault="002E7501">
    <w:pPr>
      <w:pStyle w:val="Fuzeile"/>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CD1530"/>
    <w:multiLevelType w:val="hybridMultilevel"/>
    <w:tmpl w:val="070CA834"/>
    <w:lvl w:ilvl="0" w:tplc="A76C5AD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406F1261"/>
    <w:multiLevelType w:val="hybridMultilevel"/>
    <w:tmpl w:val="A2FC31CA"/>
    <w:lvl w:ilvl="0" w:tplc="A76C5ADA">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EB4080"/>
    <w:multiLevelType w:val="hybridMultilevel"/>
    <w:tmpl w:val="711A5B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7499566">
    <w:abstractNumId w:val="2"/>
  </w:num>
  <w:num w:numId="2" w16cid:durableId="1125735657">
    <w:abstractNumId w:val="0"/>
  </w:num>
  <w:num w:numId="3" w16cid:durableId="10789882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501"/>
    <w:rsid w:val="001F72CA"/>
    <w:rsid w:val="002E7501"/>
    <w:rsid w:val="00AE0525"/>
    <w:rsid w:val="00D35958"/>
    <w:rsid w:val="00FB37B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CD518A"/>
  <w15:chartTrackingRefBased/>
  <w15:docId w15:val="{9554B7C2-6FC6-4A55-B556-8994B3C5B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de-DE"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7501"/>
    <w:pPr>
      <w:suppressAutoHyphens/>
      <w:spacing w:after="160" w:line="480" w:lineRule="auto"/>
      <w:jc w:val="both"/>
    </w:pPr>
    <w:rPr>
      <w:rFonts w:ascii="Calibri" w:eastAsiaTheme="minorEastAsia" w:hAnsi="Calibri"/>
      <w:kern w:val="0"/>
      <w:lang w:val="en-GB" w:eastAsia="en-US"/>
      <w14:ligatures w14:val="none"/>
    </w:rPr>
  </w:style>
  <w:style w:type="paragraph" w:styleId="berschrift1">
    <w:name w:val="heading 1"/>
    <w:basedOn w:val="Standard"/>
    <w:next w:val="Standard"/>
    <w:link w:val="berschrift1Zchn"/>
    <w:uiPriority w:val="9"/>
    <w:qFormat/>
    <w:rsid w:val="002E7501"/>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berschrift2">
    <w:name w:val="heading 2"/>
    <w:basedOn w:val="Standard"/>
    <w:next w:val="Standard"/>
    <w:link w:val="berschrift2Zchn"/>
    <w:uiPriority w:val="9"/>
    <w:semiHidden/>
    <w:unhideWhenUsed/>
    <w:qFormat/>
    <w:rsid w:val="002E7501"/>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berschrift3">
    <w:name w:val="heading 3"/>
    <w:basedOn w:val="Standard"/>
    <w:next w:val="Standard"/>
    <w:link w:val="berschrift3Zchn"/>
    <w:uiPriority w:val="9"/>
    <w:semiHidden/>
    <w:unhideWhenUsed/>
    <w:qFormat/>
    <w:rsid w:val="002E7501"/>
    <w:pPr>
      <w:keepNext/>
      <w:keepLines/>
      <w:spacing w:before="160" w:after="80"/>
      <w:outlineLvl w:val="2"/>
    </w:pPr>
    <w:rPr>
      <w:rFonts w:eastAsiaTheme="majorEastAsia" w:cstheme="majorBidi"/>
      <w:color w:val="365F91" w:themeColor="accent1" w:themeShade="BF"/>
      <w:sz w:val="28"/>
      <w:szCs w:val="28"/>
    </w:rPr>
  </w:style>
  <w:style w:type="paragraph" w:styleId="berschrift4">
    <w:name w:val="heading 4"/>
    <w:basedOn w:val="Standard"/>
    <w:next w:val="Standard"/>
    <w:link w:val="berschrift4Zchn"/>
    <w:uiPriority w:val="9"/>
    <w:semiHidden/>
    <w:unhideWhenUsed/>
    <w:qFormat/>
    <w:rsid w:val="002E7501"/>
    <w:pPr>
      <w:keepNext/>
      <w:keepLines/>
      <w:spacing w:before="80" w:after="40"/>
      <w:outlineLvl w:val="3"/>
    </w:pPr>
    <w:rPr>
      <w:rFonts w:eastAsiaTheme="majorEastAsia" w:cstheme="majorBidi"/>
      <w:i/>
      <w:iCs/>
      <w:color w:val="365F91" w:themeColor="accent1" w:themeShade="BF"/>
    </w:rPr>
  </w:style>
  <w:style w:type="paragraph" w:styleId="berschrift5">
    <w:name w:val="heading 5"/>
    <w:basedOn w:val="Standard"/>
    <w:next w:val="Standard"/>
    <w:link w:val="berschrift5Zchn"/>
    <w:uiPriority w:val="9"/>
    <w:semiHidden/>
    <w:unhideWhenUsed/>
    <w:qFormat/>
    <w:rsid w:val="002E7501"/>
    <w:pPr>
      <w:keepNext/>
      <w:keepLines/>
      <w:spacing w:before="80" w:after="40"/>
      <w:outlineLvl w:val="4"/>
    </w:pPr>
    <w:rPr>
      <w:rFonts w:eastAsiaTheme="majorEastAsia" w:cstheme="majorBidi"/>
      <w:color w:val="365F91" w:themeColor="accent1" w:themeShade="BF"/>
    </w:rPr>
  </w:style>
  <w:style w:type="paragraph" w:styleId="berschrift6">
    <w:name w:val="heading 6"/>
    <w:basedOn w:val="Standard"/>
    <w:next w:val="Standard"/>
    <w:link w:val="berschrift6Zchn"/>
    <w:uiPriority w:val="9"/>
    <w:semiHidden/>
    <w:unhideWhenUsed/>
    <w:qFormat/>
    <w:rsid w:val="002E750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E750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E750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E750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E7501"/>
    <w:rPr>
      <w:rFonts w:asciiTheme="majorHAnsi" w:eastAsiaTheme="majorEastAsia" w:hAnsiTheme="majorHAnsi" w:cstheme="majorBidi"/>
      <w:color w:val="365F91" w:themeColor="accent1" w:themeShade="BF"/>
      <w:sz w:val="40"/>
      <w:szCs w:val="40"/>
    </w:rPr>
  </w:style>
  <w:style w:type="character" w:customStyle="1" w:styleId="berschrift2Zchn">
    <w:name w:val="Überschrift 2 Zchn"/>
    <w:basedOn w:val="Absatz-Standardschriftart"/>
    <w:link w:val="berschrift2"/>
    <w:uiPriority w:val="9"/>
    <w:semiHidden/>
    <w:rsid w:val="002E7501"/>
    <w:rPr>
      <w:rFonts w:asciiTheme="majorHAnsi" w:eastAsiaTheme="majorEastAsia" w:hAnsiTheme="majorHAnsi" w:cstheme="majorBidi"/>
      <w:color w:val="365F91" w:themeColor="accent1" w:themeShade="BF"/>
      <w:sz w:val="32"/>
      <w:szCs w:val="32"/>
    </w:rPr>
  </w:style>
  <w:style w:type="character" w:customStyle="1" w:styleId="berschrift3Zchn">
    <w:name w:val="Überschrift 3 Zchn"/>
    <w:basedOn w:val="Absatz-Standardschriftart"/>
    <w:link w:val="berschrift3"/>
    <w:uiPriority w:val="9"/>
    <w:semiHidden/>
    <w:rsid w:val="002E7501"/>
    <w:rPr>
      <w:rFonts w:eastAsiaTheme="majorEastAsia" w:cstheme="majorBidi"/>
      <w:color w:val="365F91" w:themeColor="accent1" w:themeShade="BF"/>
      <w:sz w:val="28"/>
      <w:szCs w:val="28"/>
    </w:rPr>
  </w:style>
  <w:style w:type="character" w:customStyle="1" w:styleId="berschrift4Zchn">
    <w:name w:val="Überschrift 4 Zchn"/>
    <w:basedOn w:val="Absatz-Standardschriftart"/>
    <w:link w:val="berschrift4"/>
    <w:uiPriority w:val="9"/>
    <w:semiHidden/>
    <w:rsid w:val="002E7501"/>
    <w:rPr>
      <w:rFonts w:eastAsiaTheme="majorEastAsia" w:cstheme="majorBidi"/>
      <w:i/>
      <w:iCs/>
      <w:color w:val="365F91" w:themeColor="accent1" w:themeShade="BF"/>
    </w:rPr>
  </w:style>
  <w:style w:type="character" w:customStyle="1" w:styleId="berschrift5Zchn">
    <w:name w:val="Überschrift 5 Zchn"/>
    <w:basedOn w:val="Absatz-Standardschriftart"/>
    <w:link w:val="berschrift5"/>
    <w:uiPriority w:val="9"/>
    <w:semiHidden/>
    <w:rsid w:val="002E7501"/>
    <w:rPr>
      <w:rFonts w:eastAsiaTheme="majorEastAsia" w:cstheme="majorBidi"/>
      <w:color w:val="365F91" w:themeColor="accent1" w:themeShade="BF"/>
    </w:rPr>
  </w:style>
  <w:style w:type="character" w:customStyle="1" w:styleId="berschrift6Zchn">
    <w:name w:val="Überschrift 6 Zchn"/>
    <w:basedOn w:val="Absatz-Standardschriftart"/>
    <w:link w:val="berschrift6"/>
    <w:uiPriority w:val="9"/>
    <w:semiHidden/>
    <w:rsid w:val="002E750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E750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E750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E7501"/>
    <w:rPr>
      <w:rFonts w:eastAsiaTheme="majorEastAsia" w:cstheme="majorBidi"/>
      <w:color w:val="272727" w:themeColor="text1" w:themeTint="D8"/>
    </w:rPr>
  </w:style>
  <w:style w:type="paragraph" w:styleId="Titel">
    <w:name w:val="Title"/>
    <w:basedOn w:val="Standard"/>
    <w:next w:val="Standard"/>
    <w:link w:val="TitelZchn"/>
    <w:uiPriority w:val="10"/>
    <w:qFormat/>
    <w:rsid w:val="002E75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E750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E750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E750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E750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E7501"/>
    <w:rPr>
      <w:i/>
      <w:iCs/>
      <w:color w:val="404040" w:themeColor="text1" w:themeTint="BF"/>
    </w:rPr>
  </w:style>
  <w:style w:type="paragraph" w:styleId="Listenabsatz">
    <w:name w:val="List Paragraph"/>
    <w:basedOn w:val="Standard"/>
    <w:uiPriority w:val="34"/>
    <w:qFormat/>
    <w:rsid w:val="002E7501"/>
    <w:pPr>
      <w:ind w:left="720"/>
      <w:contextualSpacing/>
    </w:pPr>
  </w:style>
  <w:style w:type="character" w:styleId="IntensiveHervorhebung">
    <w:name w:val="Intense Emphasis"/>
    <w:basedOn w:val="Absatz-Standardschriftart"/>
    <w:uiPriority w:val="21"/>
    <w:qFormat/>
    <w:rsid w:val="002E7501"/>
    <w:rPr>
      <w:i/>
      <w:iCs/>
      <w:color w:val="365F91" w:themeColor="accent1" w:themeShade="BF"/>
    </w:rPr>
  </w:style>
  <w:style w:type="paragraph" w:styleId="IntensivesZitat">
    <w:name w:val="Intense Quote"/>
    <w:basedOn w:val="Standard"/>
    <w:next w:val="Standard"/>
    <w:link w:val="IntensivesZitatZchn"/>
    <w:uiPriority w:val="30"/>
    <w:qFormat/>
    <w:rsid w:val="002E7501"/>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ivesZitatZchn">
    <w:name w:val="Intensives Zitat Zchn"/>
    <w:basedOn w:val="Absatz-Standardschriftart"/>
    <w:link w:val="IntensivesZitat"/>
    <w:uiPriority w:val="30"/>
    <w:rsid w:val="002E7501"/>
    <w:rPr>
      <w:i/>
      <w:iCs/>
      <w:color w:val="365F91" w:themeColor="accent1" w:themeShade="BF"/>
    </w:rPr>
  </w:style>
  <w:style w:type="character" w:styleId="IntensiverVerweis">
    <w:name w:val="Intense Reference"/>
    <w:basedOn w:val="Absatz-Standardschriftart"/>
    <w:uiPriority w:val="32"/>
    <w:qFormat/>
    <w:rsid w:val="002E7501"/>
    <w:rPr>
      <w:b/>
      <w:bCs/>
      <w:smallCaps/>
      <w:color w:val="365F91" w:themeColor="accent1" w:themeShade="BF"/>
      <w:spacing w:val="5"/>
    </w:rPr>
  </w:style>
  <w:style w:type="table" w:styleId="Tabellenraster">
    <w:name w:val="Table Grid"/>
    <w:basedOn w:val="NormaleTabelle"/>
    <w:uiPriority w:val="59"/>
    <w:rsid w:val="002E7501"/>
    <w:pPr>
      <w:spacing w:after="0" w:line="240" w:lineRule="auto"/>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zeile">
    <w:name w:val="footer"/>
    <w:basedOn w:val="Standard"/>
    <w:link w:val="FuzeileZchn"/>
    <w:uiPriority w:val="99"/>
    <w:unhideWhenUsed/>
    <w:rsid w:val="002E750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E7501"/>
    <w:rPr>
      <w:rFonts w:ascii="Calibri" w:eastAsiaTheme="minorEastAsia" w:hAnsi="Calibri"/>
      <w:kern w:val="0"/>
      <w:lang w:val="en-GB" w:eastAsia="en-US"/>
      <w14:ligatures w14:val="none"/>
    </w:rPr>
  </w:style>
  <w:style w:type="character" w:styleId="Zeilennummer">
    <w:name w:val="line number"/>
    <w:basedOn w:val="Absatz-Standardschriftart"/>
    <w:uiPriority w:val="99"/>
    <w:semiHidden/>
    <w:unhideWhenUsed/>
    <w:rsid w:val="002E75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tif"/><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925</Words>
  <Characters>5273</Characters>
  <Application>Microsoft Office Word</Application>
  <DocSecurity>0</DocSecurity>
  <Lines>43</Lines>
  <Paragraphs>12</Paragraphs>
  <ScaleCrop>false</ScaleCrop>
  <Company>Universitaetsklinikum Tuebingen</Company>
  <LinksUpToDate>false</LinksUpToDate>
  <CharactersWithSpaces>6186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Tina Ganzenmüller</dc:creator>
  <cp:keywords/>
  <dc:description/>
  <cp:lastModifiedBy>Dr. Tina Ganzenmüller</cp:lastModifiedBy>
  <cp:revision>1</cp:revision>
  <dcterms:created xsi:type="dcterms:W3CDTF">2026-06-18T12:55:00Z</dcterms:created>
  <dcterms:modified xsi:type="dcterms:W3CDTF">2026-06-18T12:55:00Z</dcterms:modified>
</cp:coreProperties>
</file>