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F6E11" w14:textId="4C75625A" w:rsidR="00EA6569" w:rsidRDefault="00EA6569" w:rsidP="008B2AE1">
      <w:pPr>
        <w:keepNext/>
        <w:spacing w:after="0" w:line="240" w:lineRule="auto"/>
        <w:jc w:val="both"/>
        <w:rPr>
          <w:rFonts w:eastAsia="+mn-ea" w:cstheme="minorHAnsi"/>
          <w:b/>
          <w:bCs/>
          <w:color w:val="000000"/>
          <w:kern w:val="24"/>
        </w:rPr>
      </w:pPr>
      <w:r>
        <w:rPr>
          <w:rFonts w:eastAsia="+mn-ea" w:cstheme="minorHAnsi"/>
          <w:b/>
          <w:bCs/>
          <w:color w:val="000000"/>
          <w:kern w:val="24"/>
        </w:rPr>
        <w:t>Supplementary Methods</w:t>
      </w:r>
    </w:p>
    <w:p w14:paraId="2B11B3EB" w14:textId="77777777" w:rsidR="00EA6569" w:rsidRDefault="00EA6569" w:rsidP="008B2AE1">
      <w:pPr>
        <w:keepNext/>
        <w:spacing w:after="0" w:line="240" w:lineRule="auto"/>
        <w:jc w:val="both"/>
        <w:rPr>
          <w:rFonts w:eastAsia="+mn-ea" w:cstheme="minorHAnsi"/>
          <w:b/>
          <w:bCs/>
          <w:color w:val="000000"/>
          <w:kern w:val="24"/>
        </w:rPr>
      </w:pPr>
    </w:p>
    <w:p w14:paraId="78B05829" w14:textId="77777777" w:rsidR="00FE0B29" w:rsidRPr="00744EC0" w:rsidRDefault="00FE0B29" w:rsidP="00FE0B29">
      <w:pPr>
        <w:pStyle w:val="Heading4"/>
        <w:spacing w:before="150" w:after="180" w:line="360" w:lineRule="auto"/>
        <w:rPr>
          <w:rStyle w:val="toptext"/>
          <w:rFonts w:cstheme="minorHAnsi"/>
          <w:b/>
          <w:bCs/>
          <w:i w:val="0"/>
          <w:iCs w:val="0"/>
          <w:color w:val="auto"/>
        </w:rPr>
      </w:pPr>
      <w:r w:rsidRPr="00744EC0">
        <w:rPr>
          <w:rStyle w:val="toptext"/>
          <w:rFonts w:cstheme="minorHAnsi"/>
          <w:b/>
          <w:bCs/>
          <w:i w:val="0"/>
          <w:iCs w:val="0"/>
          <w:color w:val="auto"/>
        </w:rPr>
        <w:t>NMN and NAD+ Measurement</w:t>
      </w:r>
    </w:p>
    <w:p w14:paraId="5AF56AE5" w14:textId="7AF318BA" w:rsidR="00FE0B29" w:rsidRDefault="00FE0B29" w:rsidP="00FE0B29">
      <w:pPr>
        <w:spacing w:after="360" w:line="360" w:lineRule="auto"/>
        <w:jc w:val="both"/>
        <w:rPr>
          <w:rFonts w:cstheme="minorHAnsi"/>
          <w:color w:val="212121"/>
          <w:shd w:val="clear" w:color="auto" w:fill="FFFFFF"/>
        </w:rPr>
      </w:pPr>
      <w:r w:rsidRPr="2DE3DD64">
        <w:rPr>
          <w:rFonts w:eastAsia="Times New Roman"/>
          <w:lang w:eastAsia="en-GB"/>
        </w:rPr>
        <w:t>For cell-free experiments, reaction mixtures were prepared in triplicate containing the following: 1ml of Reaction Buffer (made up of PRPP (Sigma, UK), 2 mM ATP, 0.02% bovine serum albumin (BSA), 2 mM dithiothreitol (DTT), 12 mM MgCl2, and 50 mM Tris–HCl (pH 7.5)), 2ug/ml recombinant NAMPT and FK866 (5 – 20 nM)</w:t>
      </w:r>
      <w:r>
        <w:rPr>
          <w:rFonts w:eastAsia="Times New Roman"/>
          <w:lang w:eastAsia="en-GB"/>
        </w:rPr>
        <w:t xml:space="preserve"> or compound 17 (50 – 200 nM)</w:t>
      </w:r>
      <w:r w:rsidRPr="2DE3DD64">
        <w:rPr>
          <w:rFonts w:eastAsia="Times New Roman"/>
          <w:lang w:eastAsia="en-GB"/>
        </w:rPr>
        <w:t xml:space="preserve">. For NMN measurements in cells, MIN6 were maintained in monolayer culture. Then, 20,000 MIN6 β-cells were extracted with 100 </w:t>
      </w:r>
      <w:proofErr w:type="spellStart"/>
      <w:r w:rsidRPr="2DE3DD64">
        <w:rPr>
          <w:rFonts w:eastAsia="Times New Roman"/>
          <w:lang w:eastAsia="en-GB"/>
        </w:rPr>
        <w:t>μl</w:t>
      </w:r>
      <w:proofErr w:type="spellEnd"/>
      <w:r w:rsidRPr="2DE3DD64">
        <w:rPr>
          <w:rFonts w:eastAsia="Times New Roman"/>
          <w:lang w:eastAsia="en-GB"/>
        </w:rPr>
        <w:t xml:space="preserve"> of 1 mol/L perchloric acid and then neutralized by addition of 330 </w:t>
      </w:r>
      <w:r w:rsidRPr="2DE3DD64">
        <w:rPr>
          <w:rFonts w:eastAsia="Symbol"/>
          <w:lang w:eastAsia="en-GB"/>
        </w:rPr>
        <w:t>m</w:t>
      </w:r>
      <w:r w:rsidRPr="2DE3DD64">
        <w:rPr>
          <w:rFonts w:eastAsia="Times New Roman"/>
          <w:lang w:eastAsia="en-GB"/>
        </w:rPr>
        <w:t xml:space="preserve">L of 3 mol/L K2CO3. This was followed by incubation at 4 °C for 10 min, and centrifugation at 12000 x g for 15 min at 4 °C, with the supernatant retained. 50 </w:t>
      </w:r>
      <w:r w:rsidRPr="2DE3DD64">
        <w:rPr>
          <w:rFonts w:eastAsia="Symbol"/>
          <w:lang w:eastAsia="en-GB"/>
        </w:rPr>
        <w:t>m</w:t>
      </w:r>
      <w:r w:rsidRPr="2DE3DD64">
        <w:rPr>
          <w:rFonts w:eastAsia="Times New Roman"/>
          <w:lang w:eastAsia="en-GB"/>
        </w:rPr>
        <w:t xml:space="preserve">l of samples (reaction mixtures or cellular samples) and of standard solutions of NMN (50 </w:t>
      </w:r>
      <w:r w:rsidRPr="2DE3DD64">
        <w:rPr>
          <w:rFonts w:eastAsia="Symbol"/>
          <w:lang w:eastAsia="en-GB"/>
        </w:rPr>
        <w:t>m</w:t>
      </w:r>
      <w:r w:rsidRPr="2DE3DD64">
        <w:rPr>
          <w:rFonts w:eastAsia="Times New Roman"/>
          <w:lang w:eastAsia="en-GB"/>
        </w:rPr>
        <w:t xml:space="preserve">l; 25 – 200 </w:t>
      </w:r>
      <w:r w:rsidRPr="2DE3DD64">
        <w:rPr>
          <w:rFonts w:eastAsia="Symbol"/>
          <w:lang w:eastAsia="en-GB"/>
        </w:rPr>
        <w:t>m</w:t>
      </w:r>
      <w:r w:rsidRPr="2DE3DD64">
        <w:rPr>
          <w:rFonts w:eastAsia="Times New Roman"/>
          <w:lang w:eastAsia="en-GB"/>
        </w:rPr>
        <w:t xml:space="preserve">mol/l) were subsequently derivatised by addition of 20 </w:t>
      </w:r>
      <w:r w:rsidRPr="2DE3DD64">
        <w:rPr>
          <w:rFonts w:eastAsia="Symbol"/>
          <w:lang w:eastAsia="en-GB"/>
        </w:rPr>
        <w:t>m</w:t>
      </w:r>
      <w:r w:rsidRPr="2DE3DD64">
        <w:rPr>
          <w:rFonts w:eastAsia="Times New Roman"/>
          <w:lang w:eastAsia="en-GB"/>
        </w:rPr>
        <w:t xml:space="preserve">l of 1 mol/L KOH and 20 </w:t>
      </w:r>
      <w:r w:rsidRPr="2DE3DD64">
        <w:rPr>
          <w:rFonts w:eastAsia="Symbol"/>
          <w:lang w:eastAsia="en-GB"/>
        </w:rPr>
        <w:t>m</w:t>
      </w:r>
      <w:r w:rsidRPr="2DE3DD64">
        <w:rPr>
          <w:rFonts w:eastAsia="Times New Roman"/>
          <w:lang w:eastAsia="en-GB"/>
        </w:rPr>
        <w:t xml:space="preserve">l acetophenone (Sigma, Poole, UK) followed by incubation at 4°C for 15 min. 90 </w:t>
      </w:r>
      <w:r w:rsidRPr="2DE3DD64">
        <w:rPr>
          <w:rFonts w:eastAsia="Symbol"/>
          <w:lang w:eastAsia="en-GB"/>
        </w:rPr>
        <w:t>m</w:t>
      </w:r>
      <w:r w:rsidRPr="2DE3DD64">
        <w:rPr>
          <w:rFonts w:eastAsia="Times New Roman"/>
          <w:lang w:eastAsia="en-GB"/>
        </w:rPr>
        <w:t xml:space="preserve">l Formic acid was then added, and the solution incubated for 10 min at 37°C, producing a highly fluorescent compound. 150 </w:t>
      </w:r>
      <w:r w:rsidRPr="2DE3DD64">
        <w:rPr>
          <w:rFonts w:eastAsia="Symbol"/>
          <w:lang w:eastAsia="en-GB"/>
        </w:rPr>
        <w:t>m</w:t>
      </w:r>
      <w:r w:rsidRPr="2DE3DD64">
        <w:rPr>
          <w:rFonts w:eastAsia="Times New Roman"/>
          <w:lang w:eastAsia="en-GB"/>
        </w:rPr>
        <w:t xml:space="preserve">l of samples or standards were then added into a 96-well plate fluorescence was detected on a </w:t>
      </w:r>
      <w:proofErr w:type="spellStart"/>
      <w:r w:rsidRPr="2DE3DD64">
        <w:rPr>
          <w:rFonts w:eastAsia="Times New Roman"/>
          <w:lang w:eastAsia="en-GB"/>
        </w:rPr>
        <w:t>SpectraMax</w:t>
      </w:r>
      <w:proofErr w:type="spellEnd"/>
      <w:r w:rsidRPr="2DE3DD64">
        <w:rPr>
          <w:rFonts w:eastAsia="Times New Roman"/>
          <w:lang w:eastAsia="en-GB"/>
        </w:rPr>
        <w:t xml:space="preserve"> i3x plate reader with excitation and emission wavelength of 382 and 445 nm, respectively.</w:t>
      </w:r>
      <w:r w:rsidR="00633388">
        <w:rPr>
          <w:rFonts w:eastAsia="Times New Roman"/>
          <w:lang w:eastAsia="en-GB"/>
        </w:rPr>
        <w:t xml:space="preserve"> </w:t>
      </w:r>
      <w:r w:rsidRPr="00FE2A92">
        <w:rPr>
          <w:rFonts w:eastAsia="Times New Roman" w:cstheme="minorHAnsi"/>
          <w:lang w:eastAsia="en-GB"/>
        </w:rPr>
        <w:t>NAD was measured by specific colorimetric assays, according to manufacturer’s instructions (Sigma-Aldrich)</w:t>
      </w:r>
      <w:r>
        <w:rPr>
          <w:rFonts w:cstheme="minorHAnsi"/>
          <w:color w:val="212121"/>
          <w:shd w:val="clear" w:color="auto" w:fill="FFFFFF"/>
        </w:rPr>
        <w:t>.</w:t>
      </w:r>
    </w:p>
    <w:p w14:paraId="625DA0BF" w14:textId="77777777" w:rsidR="00633388" w:rsidRPr="004376CC" w:rsidRDefault="00633388" w:rsidP="00633388">
      <w:pPr>
        <w:pStyle w:val="Heading3"/>
        <w:shd w:val="clear" w:color="auto" w:fill="FFFFFF" w:themeFill="background1"/>
        <w:spacing w:before="225" w:after="225" w:line="360" w:lineRule="auto"/>
        <w:jc w:val="both"/>
        <w:rPr>
          <w:rFonts w:eastAsiaTheme="minorEastAsia" w:cstheme="minorBidi"/>
          <w:b/>
          <w:bCs/>
          <w:color w:val="121212"/>
          <w:sz w:val="22"/>
          <w:szCs w:val="22"/>
        </w:rPr>
      </w:pPr>
      <w:r w:rsidRPr="22A28666">
        <w:rPr>
          <w:rFonts w:eastAsiaTheme="minorEastAsia" w:cstheme="minorBidi"/>
          <w:b/>
          <w:bCs/>
          <w:color w:val="121212"/>
          <w:sz w:val="22"/>
          <w:szCs w:val="22"/>
        </w:rPr>
        <w:t>Preparation of reformed islets</w:t>
      </w:r>
    </w:p>
    <w:p w14:paraId="3CEC9BEC" w14:textId="5E86571C" w:rsidR="00633388" w:rsidRDefault="00633388" w:rsidP="00633388">
      <w:pPr>
        <w:shd w:val="clear" w:color="auto" w:fill="FFFFFF" w:themeFill="background1"/>
        <w:spacing w:after="225" w:line="360" w:lineRule="auto"/>
        <w:jc w:val="both"/>
        <w:rPr>
          <w:rFonts w:eastAsiaTheme="minorEastAsia"/>
          <w:color w:val="191919"/>
        </w:rPr>
      </w:pPr>
      <w:r w:rsidRPr="1B6809ED">
        <w:rPr>
          <w:rFonts w:eastAsiaTheme="minorEastAsia"/>
          <w:color w:val="191919"/>
        </w:rPr>
        <w:t xml:space="preserve">2000-2500 islets isolated from BALB/c mice (Envigo, UK) were hand-picked from suspension cultures 24h after isolation and washed with PBS. Islets were then dissociated into a suspension of single cells through trypsin digestion. Trypsin digestion was stopped by adding neurobasal media consisting of MEM supplemented with 5% (v/v) FBS, 1x B-27, 1%(v/v) penicillin and streptomycin, HEPES 10 mM, </w:t>
      </w:r>
      <w:proofErr w:type="spellStart"/>
      <w:r w:rsidRPr="1B6809ED">
        <w:rPr>
          <w:rFonts w:eastAsiaTheme="minorEastAsia"/>
          <w:color w:val="191919"/>
        </w:rPr>
        <w:t>Glutamax</w:t>
      </w:r>
      <w:proofErr w:type="spellEnd"/>
      <w:r w:rsidRPr="1B6809ED">
        <w:rPr>
          <w:rFonts w:eastAsiaTheme="minorEastAsia"/>
          <w:color w:val="191919"/>
        </w:rPr>
        <w:t xml:space="preserve"> 1x, Na-pyruvate 1mM, and 11 mM glucose. Islet cells were seeded at a density of 35,000 cells/cm</w:t>
      </w:r>
      <w:r w:rsidRPr="1B6809ED">
        <w:rPr>
          <w:rFonts w:eastAsiaTheme="minorEastAsia"/>
          <w:color w:val="191919"/>
          <w:vertAlign w:val="superscript"/>
        </w:rPr>
        <w:t>2</w:t>
      </w:r>
      <w:r w:rsidRPr="1B6809ED">
        <w:rPr>
          <w:rFonts w:eastAsiaTheme="minorEastAsia"/>
          <w:color w:val="191919"/>
        </w:rPr>
        <w:t xml:space="preserve"> on laminin-coated or collagenase-coated glass coverslips. Cells were then cultured for 3-4 days to allow adherence and spread on the glass surfaces, and for a further 10-14 days to form reformed islets.</w:t>
      </w:r>
    </w:p>
    <w:p w14:paraId="553F200F" w14:textId="77777777" w:rsidR="00BD02BC" w:rsidRDefault="00531A55" w:rsidP="00BD02BC">
      <w:pPr>
        <w:spacing w:after="0" w:line="360" w:lineRule="auto"/>
        <w:jc w:val="both"/>
        <w:rPr>
          <w:rFonts w:eastAsia="Times New Roman"/>
          <w:b/>
          <w:bCs/>
          <w:lang w:eastAsia="en-GB"/>
        </w:rPr>
      </w:pPr>
      <w:r w:rsidRPr="00531A55">
        <w:rPr>
          <w:rFonts w:eastAsia="Times New Roman"/>
          <w:b/>
          <w:bCs/>
          <w:lang w:eastAsia="en-GB"/>
        </w:rPr>
        <w:t>Migration Assays</w:t>
      </w:r>
    </w:p>
    <w:p w14:paraId="3C8AD58B" w14:textId="47C46AB9" w:rsidR="00531A55" w:rsidRDefault="001716A9" w:rsidP="00BD02BC">
      <w:pPr>
        <w:spacing w:after="0" w:line="360" w:lineRule="auto"/>
        <w:jc w:val="both"/>
        <w:rPr>
          <w:rFonts w:eastAsiaTheme="minorEastAsia"/>
          <w:color w:val="191919"/>
          <w:lang w:val="en-US"/>
        </w:rPr>
      </w:pPr>
      <w:r>
        <w:rPr>
          <w:rFonts w:eastAsiaTheme="minorEastAsia"/>
          <w:color w:val="191919"/>
          <w:lang w:val="en-US"/>
        </w:rPr>
        <w:t>I</w:t>
      </w:r>
      <w:r w:rsidR="00531A55" w:rsidRPr="1B6809ED">
        <w:rPr>
          <w:rFonts w:eastAsiaTheme="minorEastAsia"/>
          <w:color w:val="191919"/>
          <w:lang w:val="en-US"/>
        </w:rPr>
        <w:t>slets were isolated from BALB/c mice, and reformed islets were generated as described</w:t>
      </w:r>
      <w:r>
        <w:rPr>
          <w:rFonts w:eastAsiaTheme="minorEastAsia"/>
          <w:color w:val="191919"/>
          <w:lang w:val="en-US"/>
        </w:rPr>
        <w:t xml:space="preserve"> above</w:t>
      </w:r>
      <w:r w:rsidR="00531A55" w:rsidRPr="1B6809ED">
        <w:rPr>
          <w:rFonts w:eastAsiaTheme="minorEastAsia"/>
          <w:color w:val="191919"/>
          <w:lang w:val="en-US"/>
        </w:rPr>
        <w:t>. BALB/c mice express the MHC class H2Kd haplotype and are therefore matched to antigen-specific T cells. CD8+ cells were isolated from the spleens of 8-week-old diabetic female NY8.3 NOD mice (</w:t>
      </w:r>
      <w:r w:rsidR="00531A55" w:rsidRPr="1B6809ED">
        <w:rPr>
          <w:rFonts w:ascii="Calibri" w:eastAsia="Calibri" w:hAnsi="Calibri" w:cs="Calibri"/>
        </w:rPr>
        <w:t>a kind gift from Dr James Pearson, Cardiff University</w:t>
      </w:r>
      <w:r w:rsidR="00531A55" w:rsidRPr="1B6809ED">
        <w:rPr>
          <w:rFonts w:eastAsiaTheme="minorEastAsia"/>
          <w:lang w:val="en-US"/>
        </w:rPr>
        <w:t>).</w:t>
      </w:r>
      <w:r w:rsidR="00531A55" w:rsidRPr="1B6809ED">
        <w:rPr>
          <w:rFonts w:eastAsiaTheme="minorEastAsia"/>
          <w:color w:val="191919"/>
          <w:lang w:val="en-US"/>
        </w:rPr>
        <w:t xml:space="preserve"> A single-cell suspension was prepared with MojoSort </w:t>
      </w:r>
      <w:r w:rsidR="00531A55" w:rsidRPr="1B6809ED">
        <w:rPr>
          <w:rFonts w:eastAsiaTheme="minorEastAsia"/>
          <w:color w:val="191919"/>
          <w:lang w:val="en-US"/>
        </w:rPr>
        <w:lastRenderedPageBreak/>
        <w:t>buffer at 1 × 10</w:t>
      </w:r>
      <w:r w:rsidR="00531A55" w:rsidRPr="1B6809ED">
        <w:rPr>
          <w:rFonts w:eastAsiaTheme="minorEastAsia"/>
          <w:color w:val="191919"/>
          <w:vertAlign w:val="superscript"/>
          <w:lang w:val="en-US"/>
        </w:rPr>
        <w:t>8</w:t>
      </w:r>
      <w:r w:rsidR="00531A55" w:rsidRPr="1B6809ED">
        <w:rPr>
          <w:rFonts w:eastAsiaTheme="minorEastAsia"/>
          <w:color w:val="191919"/>
          <w:lang w:val="en-US"/>
        </w:rPr>
        <w:t xml:space="preserve"> cells/ml. 10 µl of biotinylated antibody containing antibodies against CD4, CD11b, CD11c, CD19, CD24, CD45R/B220, CD49b, CD105, I-A/I-E, TER-119/Erythroid, and </w:t>
      </w:r>
      <w:proofErr w:type="spellStart"/>
      <w:r w:rsidR="00531A55" w:rsidRPr="1B6809ED">
        <w:rPr>
          <w:rFonts w:eastAsiaTheme="minorEastAsia"/>
          <w:color w:val="191919"/>
          <w:lang w:val="en-US"/>
        </w:rPr>
        <w:t>TCRγδ</w:t>
      </w:r>
      <w:proofErr w:type="spellEnd"/>
      <w:r w:rsidR="00531A55" w:rsidRPr="1B6809ED">
        <w:rPr>
          <w:rFonts w:eastAsiaTheme="minorEastAsia"/>
          <w:color w:val="191919"/>
          <w:lang w:val="en-US"/>
        </w:rPr>
        <w:t xml:space="preserve"> were added. The mixture was then incubated for 15 min on ice, and 10 µL streptavidin nanobeads were added. The final volume of 120 µL of the cell and bead mixture was incubated on ice for an additional 15 min. Finally, 120 µL was diluted in in 1x MojoSort buffer (2.5 mL) and placed in a MojoSort Magnet (Cat# 480019/480020, </w:t>
      </w:r>
      <w:proofErr w:type="spellStart"/>
      <w:r w:rsidR="00531A55" w:rsidRPr="1B6809ED">
        <w:rPr>
          <w:rFonts w:eastAsiaTheme="minorEastAsia"/>
          <w:color w:val="191919"/>
          <w:lang w:val="en-US"/>
        </w:rPr>
        <w:t>BioLegend</w:t>
      </w:r>
      <w:proofErr w:type="spellEnd"/>
      <w:r w:rsidR="00531A55" w:rsidRPr="1B6809ED">
        <w:rPr>
          <w:rFonts w:eastAsiaTheme="minorEastAsia"/>
          <w:color w:val="191919"/>
          <w:lang w:val="en-US"/>
        </w:rPr>
        <w:t>) for 5 min for magnetic separation. The free cells in the solution were collected as enriched CD8</w:t>
      </w:r>
      <w:r w:rsidR="00531A55" w:rsidRPr="1B6809ED">
        <w:rPr>
          <w:rFonts w:eastAsiaTheme="minorEastAsia"/>
          <w:color w:val="191919"/>
          <w:vertAlign w:val="superscript"/>
          <w:lang w:val="en-US"/>
        </w:rPr>
        <w:t>+</w:t>
      </w:r>
      <w:r w:rsidR="00531A55" w:rsidRPr="1B6809ED">
        <w:rPr>
          <w:rFonts w:eastAsiaTheme="minorEastAsia"/>
          <w:color w:val="191919"/>
          <w:lang w:val="en-US"/>
        </w:rPr>
        <w:t xml:space="preserve"> T cells.</w:t>
      </w:r>
    </w:p>
    <w:p w14:paraId="318739BC" w14:textId="77777777" w:rsidR="00BD02BC" w:rsidRPr="001716A9" w:rsidRDefault="00BD02BC" w:rsidP="00BD02BC">
      <w:pPr>
        <w:spacing w:after="0" w:line="360" w:lineRule="auto"/>
        <w:jc w:val="both"/>
        <w:rPr>
          <w:rFonts w:eastAsia="Times New Roman"/>
          <w:b/>
          <w:bCs/>
          <w:lang w:eastAsia="en-GB"/>
        </w:rPr>
      </w:pPr>
    </w:p>
    <w:p w14:paraId="352F0C7D" w14:textId="77777777" w:rsidR="00531A55" w:rsidRPr="002B6B0C" w:rsidRDefault="00531A55" w:rsidP="00531A55">
      <w:pPr>
        <w:shd w:val="clear" w:color="auto" w:fill="FFFFFF" w:themeFill="background1"/>
        <w:spacing w:after="225" w:line="360" w:lineRule="auto"/>
        <w:jc w:val="both"/>
        <w:rPr>
          <w:rFonts w:eastAsiaTheme="minorEastAsia"/>
          <w:color w:val="191919"/>
          <w:highlight w:val="yellow"/>
          <w:lang w:val="en-US"/>
        </w:rPr>
      </w:pPr>
      <w:r w:rsidRPr="1B6809ED">
        <w:rPr>
          <w:rFonts w:eastAsiaTheme="minorEastAsia"/>
          <w:color w:val="191919"/>
          <w:lang w:val="en-US"/>
        </w:rPr>
        <w:t>The migration assay was conducted using an 8µm pore transwell plate (</w:t>
      </w:r>
      <w:proofErr w:type="spellStart"/>
      <w:r w:rsidRPr="1B6809ED">
        <w:rPr>
          <w:rFonts w:eastAsiaTheme="minorEastAsia"/>
          <w:color w:val="191919"/>
          <w:lang w:val="en-US"/>
        </w:rPr>
        <w:t>BioVision</w:t>
      </w:r>
      <w:proofErr w:type="spellEnd"/>
      <w:r w:rsidRPr="1B6809ED">
        <w:rPr>
          <w:rFonts w:eastAsiaTheme="minorEastAsia"/>
          <w:color w:val="191919"/>
          <w:lang w:val="en-US"/>
        </w:rPr>
        <w:t>, Inc., USA) according to the manufacturer’s protocol. BALB/c islets were incubated for 48h in 2% FBS RPMI complete medium in the lower chamber of a Transwell culture plate. Following this, 2X10</w:t>
      </w:r>
      <w:r w:rsidRPr="1B6809ED">
        <w:rPr>
          <w:rFonts w:eastAsiaTheme="minorEastAsia"/>
          <w:color w:val="191919"/>
          <w:vertAlign w:val="superscript"/>
          <w:lang w:val="en-US"/>
        </w:rPr>
        <w:t>5</w:t>
      </w:r>
      <w:r w:rsidRPr="1B6809ED">
        <w:rPr>
          <w:rFonts w:eastAsiaTheme="minorEastAsia"/>
          <w:color w:val="191919"/>
          <w:lang w:val="en-US"/>
        </w:rPr>
        <w:t xml:space="preserve"> CD8</w:t>
      </w:r>
      <w:r w:rsidRPr="1B6809ED">
        <w:rPr>
          <w:rFonts w:eastAsiaTheme="minorEastAsia"/>
          <w:color w:val="191919"/>
          <w:vertAlign w:val="superscript"/>
          <w:lang w:val="en-US"/>
        </w:rPr>
        <w:t>+</w:t>
      </w:r>
      <w:r w:rsidRPr="1B6809ED">
        <w:rPr>
          <w:rFonts w:eastAsiaTheme="minorEastAsia"/>
          <w:color w:val="191919"/>
          <w:lang w:val="en-US"/>
        </w:rPr>
        <w:t xml:space="preserve"> T cells were seeded into the upper chamber and placed over coverslips with reformed islets treated with pro-inflammatory alone or in combination with FK866. After 18 h of incubation, the cells in the lower chamber were quantified by measuring the O.D values at Ex/Em = 540/590 nm using a </w:t>
      </w:r>
      <w:proofErr w:type="spellStart"/>
      <w:r w:rsidRPr="1B6809ED">
        <w:rPr>
          <w:rFonts w:eastAsiaTheme="minorEastAsia"/>
          <w:color w:val="191919"/>
          <w:lang w:val="en-US"/>
        </w:rPr>
        <w:t>PHERAstar</w:t>
      </w:r>
      <w:proofErr w:type="spellEnd"/>
      <w:r w:rsidRPr="1B6809ED">
        <w:rPr>
          <w:rFonts w:eastAsiaTheme="minorEastAsia"/>
          <w:color w:val="191919"/>
          <w:lang w:val="en-US"/>
        </w:rPr>
        <w:t xml:space="preserve"> Microplate Reader (33).</w:t>
      </w:r>
      <w:r>
        <w:rPr>
          <w:rFonts w:eastAsiaTheme="minorEastAsia"/>
          <w:color w:val="191919"/>
          <w:lang w:val="en-US"/>
        </w:rPr>
        <w:t xml:space="preserve"> Figure 6 shows a schematic representation of the experimental set-up.</w:t>
      </w:r>
    </w:p>
    <w:p w14:paraId="06718424" w14:textId="77777777" w:rsidR="00A6701A" w:rsidRPr="002B6B0C" w:rsidRDefault="00A6701A" w:rsidP="00A6701A">
      <w:pPr>
        <w:spacing w:after="120" w:line="360" w:lineRule="auto"/>
        <w:jc w:val="both"/>
        <w:outlineLvl w:val="2"/>
        <w:rPr>
          <w:rFonts w:eastAsia="Times New Roman" w:cstheme="minorHAnsi"/>
          <w:b/>
          <w:bCs/>
          <w:color w:val="222222"/>
          <w:lang w:eastAsia="en-GB"/>
        </w:rPr>
      </w:pPr>
      <w:r w:rsidRPr="002B6B0C">
        <w:rPr>
          <w:rFonts w:eastAsia="Times New Roman" w:cstheme="minorHAnsi"/>
          <w:b/>
          <w:bCs/>
          <w:color w:val="222222"/>
          <w:lang w:eastAsia="en-GB"/>
        </w:rPr>
        <w:t>Flow cytometric analysis</w:t>
      </w:r>
    </w:p>
    <w:p w14:paraId="4BE6FF24" w14:textId="77777777" w:rsidR="00A6701A" w:rsidRPr="00FE2A92" w:rsidRDefault="00A6701A" w:rsidP="00A6701A">
      <w:pPr>
        <w:spacing w:after="360" w:line="360" w:lineRule="auto"/>
        <w:jc w:val="both"/>
        <w:rPr>
          <w:rFonts w:eastAsia="Times New Roman"/>
          <w:lang w:eastAsia="en-GB"/>
        </w:rPr>
      </w:pPr>
      <w:r w:rsidRPr="1B6809ED">
        <w:rPr>
          <w:rFonts w:eastAsia="Times New Roman"/>
          <w:lang w:eastAsia="en-GB"/>
        </w:rPr>
        <w:t>To assess viability, single-cell suspensions were stained with LIVE/DEAD™ Fixable Blue Dead Cell Stain (</w:t>
      </w:r>
      <w:proofErr w:type="spellStart"/>
      <w:r w:rsidRPr="1B6809ED">
        <w:rPr>
          <w:rFonts w:eastAsia="Times New Roman"/>
          <w:lang w:eastAsia="en-GB"/>
        </w:rPr>
        <w:t>Thermo</w:t>
      </w:r>
      <w:proofErr w:type="spellEnd"/>
      <w:r w:rsidRPr="1B6809ED">
        <w:rPr>
          <w:rFonts w:eastAsia="Times New Roman"/>
          <w:lang w:eastAsia="en-GB"/>
        </w:rPr>
        <w:t xml:space="preserve"> Fisher Scientific). To assess surface immune cell markers, </w:t>
      </w:r>
      <w:bookmarkStart w:id="0" w:name="_Hlk100154699"/>
      <w:r w:rsidRPr="1B6809ED">
        <w:rPr>
          <w:rFonts w:eastAsia="Times New Roman"/>
          <w:lang w:eastAsia="en-GB"/>
        </w:rPr>
        <w:t>single-cell suspensions were incubated with anti-mouse CD4, CD8</w:t>
      </w:r>
      <w:r>
        <w:rPr>
          <w:rFonts w:eastAsia="Times New Roman"/>
          <w:lang w:eastAsia="en-GB"/>
        </w:rPr>
        <w:t xml:space="preserve"> and</w:t>
      </w:r>
      <w:r w:rsidRPr="1B6809ED">
        <w:rPr>
          <w:rFonts w:eastAsia="Times New Roman"/>
          <w:lang w:eastAsia="en-GB"/>
        </w:rPr>
        <w:t xml:space="preserve"> F4/80 fluorochrome-conjugated monoclonal antibodies (all 1:50 dilution), or with isotype-matched controls (Becton Dickinson, Wokingham, UK)</w:t>
      </w:r>
      <w:bookmarkEnd w:id="0"/>
      <w:r w:rsidRPr="1B6809ED">
        <w:rPr>
          <w:rFonts w:eastAsia="Times New Roman"/>
          <w:lang w:eastAsia="en-GB"/>
        </w:rPr>
        <w:t xml:space="preserve"> for 45 minutes at RT. Following staining, cells were fixed and permeabilized with Intracellular Fixation &amp; Permeabilization Buffer Set (</w:t>
      </w:r>
      <w:proofErr w:type="spellStart"/>
      <w:r w:rsidRPr="1B6809ED">
        <w:rPr>
          <w:rFonts w:eastAsia="Times New Roman"/>
          <w:lang w:eastAsia="en-GB"/>
        </w:rPr>
        <w:t>Thermo</w:t>
      </w:r>
      <w:proofErr w:type="spellEnd"/>
      <w:r w:rsidRPr="1B6809ED">
        <w:rPr>
          <w:rFonts w:eastAsia="Times New Roman"/>
          <w:lang w:eastAsia="en-GB"/>
        </w:rPr>
        <w:t xml:space="preserve"> Fisher Scientific, UK). To assess for proliferative cells, Click-</w:t>
      </w:r>
      <w:proofErr w:type="spellStart"/>
      <w:r w:rsidRPr="1B6809ED">
        <w:rPr>
          <w:rFonts w:eastAsia="Times New Roman"/>
          <w:lang w:eastAsia="en-GB"/>
        </w:rPr>
        <w:t>iT</w:t>
      </w:r>
      <w:proofErr w:type="spellEnd"/>
      <w:r w:rsidRPr="1B6809ED">
        <w:rPr>
          <w:rFonts w:eastAsia="Times New Roman"/>
          <w:lang w:eastAsia="en-GB"/>
        </w:rPr>
        <w:t xml:space="preserve"> EdU Flow Cytometry Cell Proliferation Assay (</w:t>
      </w:r>
      <w:proofErr w:type="spellStart"/>
      <w:r w:rsidRPr="1B6809ED">
        <w:rPr>
          <w:rFonts w:eastAsia="Times New Roman"/>
          <w:lang w:eastAsia="en-GB"/>
        </w:rPr>
        <w:t>Thermo</w:t>
      </w:r>
      <w:proofErr w:type="spellEnd"/>
      <w:r w:rsidRPr="1B6809ED">
        <w:rPr>
          <w:rFonts w:eastAsia="Times New Roman"/>
          <w:lang w:eastAsia="en-GB"/>
        </w:rPr>
        <w:t xml:space="preserve"> Fisher Scientific, Hemel Hempstead, UK) was used according to manufacturer’s instructions. Briefly, cells were resuspended in 100 </w:t>
      </w:r>
      <w:proofErr w:type="spellStart"/>
      <w:r w:rsidRPr="1B6809ED">
        <w:rPr>
          <w:rFonts w:eastAsia="Times New Roman"/>
          <w:lang w:eastAsia="en-GB"/>
        </w:rPr>
        <w:t>μL</w:t>
      </w:r>
      <w:proofErr w:type="spellEnd"/>
      <w:r w:rsidRPr="1B6809ED">
        <w:rPr>
          <w:rFonts w:eastAsia="Times New Roman"/>
          <w:lang w:eastAsia="en-GB"/>
        </w:rPr>
        <w:t xml:space="preserve"> of 1X Click-</w:t>
      </w:r>
      <w:proofErr w:type="spellStart"/>
      <w:r w:rsidRPr="1B6809ED">
        <w:rPr>
          <w:rFonts w:eastAsia="Times New Roman"/>
          <w:lang w:eastAsia="en-GB"/>
        </w:rPr>
        <w:t>iT</w:t>
      </w:r>
      <w:proofErr w:type="spellEnd"/>
      <w:r w:rsidRPr="1B6809ED">
        <w:rPr>
          <w:rFonts w:eastAsia="Times New Roman"/>
          <w:lang w:eastAsia="en-GB"/>
        </w:rPr>
        <w:t>® saponin-based permeabilization, then 0.5 mL of Click-</w:t>
      </w:r>
      <w:proofErr w:type="spellStart"/>
      <w:r w:rsidRPr="1B6809ED">
        <w:rPr>
          <w:rFonts w:eastAsia="Times New Roman"/>
          <w:lang w:eastAsia="en-GB"/>
        </w:rPr>
        <w:t>iT</w:t>
      </w:r>
      <w:proofErr w:type="spellEnd"/>
      <w:r w:rsidRPr="1B6809ED">
        <w:rPr>
          <w:rFonts w:eastAsia="Times New Roman"/>
          <w:lang w:eastAsia="en-GB"/>
        </w:rPr>
        <w:t>® reaction cocktail was added to each sample for 30 minutes at room temperature, protected from light. Samples were washed twice with 1 mL of 1X Click-</w:t>
      </w:r>
      <w:proofErr w:type="spellStart"/>
      <w:r w:rsidRPr="1B6809ED">
        <w:rPr>
          <w:rFonts w:eastAsia="Times New Roman"/>
          <w:lang w:eastAsia="en-GB"/>
        </w:rPr>
        <w:t>iT</w:t>
      </w:r>
      <w:proofErr w:type="spellEnd"/>
      <w:r w:rsidRPr="1B6809ED">
        <w:rPr>
          <w:rFonts w:eastAsia="Times New Roman"/>
          <w:lang w:eastAsia="en-GB"/>
        </w:rPr>
        <w:t xml:space="preserve">® saponin-based permeabilization and wash reagent, followed by resuspension in </w:t>
      </w:r>
      <w:proofErr w:type="spellStart"/>
      <w:r w:rsidRPr="1B6809ED">
        <w:rPr>
          <w:rFonts w:eastAsia="Times New Roman"/>
          <w:lang w:eastAsia="en-GB"/>
        </w:rPr>
        <w:t>eBioscience</w:t>
      </w:r>
      <w:proofErr w:type="spellEnd"/>
      <w:r w:rsidRPr="1B6809ED">
        <w:rPr>
          <w:rFonts w:eastAsia="Times New Roman"/>
          <w:lang w:eastAsia="en-GB"/>
        </w:rPr>
        <w:t>™ Flow Cytometry Staining Buffer (</w:t>
      </w:r>
      <w:proofErr w:type="spellStart"/>
      <w:r w:rsidRPr="1B6809ED">
        <w:rPr>
          <w:rFonts w:eastAsia="Times New Roman"/>
          <w:lang w:eastAsia="en-GB"/>
        </w:rPr>
        <w:t>Thermo</w:t>
      </w:r>
      <w:proofErr w:type="spellEnd"/>
      <w:r w:rsidRPr="1B6809ED">
        <w:rPr>
          <w:rFonts w:eastAsia="Times New Roman"/>
          <w:lang w:eastAsia="en-GB"/>
        </w:rPr>
        <w:t xml:space="preserve"> Fisher Scientific, UK). To assess other intracellular proteins, single-cell suspensions were incubated with anti-mouse insulin (1:100), IFNγ or TNFα (both 1:50) fluorochrome-conjugated monoclonal antibodies or with isotype-matched controls (Becton Dickinson, Wokingham, UK) for 45 min at RT. 5000 islet cells/pool or 100000 spleen cells/spleen were analysed on a BD </w:t>
      </w:r>
      <w:proofErr w:type="spellStart"/>
      <w:r w:rsidRPr="1B6809ED">
        <w:rPr>
          <w:rFonts w:eastAsia="Times New Roman"/>
          <w:lang w:eastAsia="en-GB"/>
        </w:rPr>
        <w:t>LSRFortessa</w:t>
      </w:r>
      <w:proofErr w:type="spellEnd"/>
      <w:r w:rsidRPr="1B6809ED">
        <w:rPr>
          <w:rFonts w:eastAsia="Times New Roman"/>
          <w:lang w:eastAsia="en-GB"/>
        </w:rPr>
        <w:t xml:space="preserve">™ using BD </w:t>
      </w:r>
      <w:proofErr w:type="spellStart"/>
      <w:r w:rsidRPr="1B6809ED">
        <w:rPr>
          <w:rFonts w:eastAsia="Times New Roman"/>
          <w:lang w:eastAsia="en-GB"/>
        </w:rPr>
        <w:t>FACSDiva</w:t>
      </w:r>
      <w:proofErr w:type="spellEnd"/>
      <w:r w:rsidRPr="1B6809ED">
        <w:rPr>
          <w:rFonts w:eastAsia="Times New Roman"/>
          <w:lang w:eastAsia="en-GB"/>
        </w:rPr>
        <w:t xml:space="preserve">™ software (BD Biosciences, Southampton, UK) and analysis was conducted with </w:t>
      </w:r>
      <w:proofErr w:type="spellStart"/>
      <w:r w:rsidRPr="1B6809ED">
        <w:rPr>
          <w:rFonts w:eastAsia="Times New Roman"/>
          <w:lang w:eastAsia="en-GB"/>
        </w:rPr>
        <w:t>FlowJo</w:t>
      </w:r>
      <w:proofErr w:type="spellEnd"/>
      <w:r w:rsidRPr="1B6809ED">
        <w:rPr>
          <w:rFonts w:eastAsia="Times New Roman"/>
          <w:lang w:eastAsia="en-GB"/>
        </w:rPr>
        <w:t xml:space="preserve"> (Tree Star). Gating strategies are shown in S</w:t>
      </w:r>
      <w:r w:rsidRPr="1B6809ED">
        <w:rPr>
          <w:rFonts w:ascii="Calibri" w:eastAsia="Calibri" w:hAnsi="Calibri" w:cs="Calibri"/>
          <w:color w:val="000000" w:themeColor="text1"/>
        </w:rPr>
        <w:t xml:space="preserve">upplemental Figure </w:t>
      </w:r>
      <w:r>
        <w:rPr>
          <w:rFonts w:eastAsia="Times New Roman"/>
          <w:lang w:eastAsia="en-GB"/>
        </w:rPr>
        <w:t>3</w:t>
      </w:r>
      <w:r w:rsidRPr="1B6809ED">
        <w:rPr>
          <w:rFonts w:eastAsia="Times New Roman"/>
          <w:lang w:eastAsia="en-GB"/>
        </w:rPr>
        <w:t>-</w:t>
      </w:r>
      <w:r>
        <w:rPr>
          <w:rFonts w:eastAsia="Times New Roman"/>
          <w:lang w:eastAsia="en-GB"/>
        </w:rPr>
        <w:t>9</w:t>
      </w:r>
      <w:r w:rsidRPr="1B6809ED">
        <w:rPr>
          <w:rFonts w:eastAsia="Times New Roman"/>
          <w:lang w:eastAsia="en-GB"/>
        </w:rPr>
        <w:t>.</w:t>
      </w:r>
    </w:p>
    <w:p w14:paraId="180AE3EE" w14:textId="77777777" w:rsidR="006C1F53" w:rsidRDefault="006C1F53" w:rsidP="008B2AE1">
      <w:pPr>
        <w:keepNext/>
        <w:spacing w:after="0" w:line="240" w:lineRule="auto"/>
        <w:jc w:val="both"/>
        <w:rPr>
          <w:rFonts w:eastAsia="+mn-ea" w:cstheme="minorHAnsi"/>
          <w:b/>
          <w:bCs/>
          <w:color w:val="000000"/>
          <w:kern w:val="24"/>
        </w:rPr>
      </w:pPr>
    </w:p>
    <w:p w14:paraId="4C9E6D10" w14:textId="4C594723" w:rsidR="00EA6569" w:rsidRDefault="00EA6569" w:rsidP="008B2AE1">
      <w:pPr>
        <w:keepNext/>
        <w:spacing w:after="0" w:line="240" w:lineRule="auto"/>
        <w:jc w:val="both"/>
        <w:rPr>
          <w:rFonts w:eastAsia="+mn-ea" w:cstheme="minorHAnsi"/>
          <w:b/>
          <w:bCs/>
          <w:color w:val="000000"/>
          <w:kern w:val="24"/>
        </w:rPr>
      </w:pPr>
      <w:r>
        <w:rPr>
          <w:rFonts w:eastAsia="+mn-ea" w:cstheme="minorHAnsi"/>
          <w:b/>
          <w:bCs/>
          <w:color w:val="000000"/>
          <w:kern w:val="24"/>
        </w:rPr>
        <w:t>Supplementary Figures</w:t>
      </w:r>
    </w:p>
    <w:p w14:paraId="65231F8C" w14:textId="77777777" w:rsidR="00EA6569" w:rsidRDefault="00EA6569" w:rsidP="008B2AE1">
      <w:pPr>
        <w:keepNext/>
        <w:spacing w:after="0" w:line="240" w:lineRule="auto"/>
        <w:jc w:val="both"/>
        <w:rPr>
          <w:rFonts w:eastAsia="+mn-ea" w:cstheme="minorHAnsi"/>
          <w:b/>
          <w:bCs/>
          <w:color w:val="000000"/>
          <w:kern w:val="24"/>
        </w:rPr>
      </w:pPr>
    </w:p>
    <w:p w14:paraId="46412FC5" w14:textId="5B213549" w:rsidR="00EA6569" w:rsidRDefault="006C1F53" w:rsidP="008B2AE1">
      <w:pPr>
        <w:keepNext/>
        <w:spacing w:after="0" w:line="240" w:lineRule="auto"/>
        <w:jc w:val="both"/>
        <w:rPr>
          <w:rFonts w:eastAsia="+mn-ea" w:cstheme="minorHAnsi"/>
          <w:b/>
          <w:bCs/>
          <w:color w:val="000000"/>
          <w:kern w:val="24"/>
        </w:rPr>
      </w:pPr>
      <w:r w:rsidRPr="003E766C">
        <w:rPr>
          <w:noProof/>
        </w:rPr>
        <w:drawing>
          <wp:inline distT="0" distB="0" distL="0" distR="0" wp14:anchorId="24060F68" wp14:editId="3034A4AB">
            <wp:extent cx="4778241" cy="5723726"/>
            <wp:effectExtent l="0" t="0" r="0" b="0"/>
            <wp:docPr id="1152128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128229" name=""/>
                    <pic:cNvPicPr/>
                  </pic:nvPicPr>
                  <pic:blipFill>
                    <a:blip r:embed="rId6"/>
                    <a:stretch>
                      <a:fillRect/>
                    </a:stretch>
                  </pic:blipFill>
                  <pic:spPr>
                    <a:xfrm>
                      <a:off x="0" y="0"/>
                      <a:ext cx="4789140" cy="5736782"/>
                    </a:xfrm>
                    <a:prstGeom prst="rect">
                      <a:avLst/>
                    </a:prstGeom>
                  </pic:spPr>
                </pic:pic>
              </a:graphicData>
            </a:graphic>
          </wp:inline>
        </w:drawing>
      </w:r>
    </w:p>
    <w:p w14:paraId="7434B620" w14:textId="77777777" w:rsidR="00EA6569" w:rsidRDefault="00EA6569" w:rsidP="008B2AE1">
      <w:pPr>
        <w:keepNext/>
        <w:spacing w:after="0" w:line="240" w:lineRule="auto"/>
        <w:jc w:val="both"/>
        <w:rPr>
          <w:rFonts w:eastAsia="+mn-ea" w:cstheme="minorHAnsi"/>
          <w:b/>
          <w:bCs/>
          <w:color w:val="000000"/>
          <w:kern w:val="24"/>
        </w:rPr>
      </w:pPr>
    </w:p>
    <w:p w14:paraId="56735905" w14:textId="547EB19E" w:rsidR="008B2AE1" w:rsidRPr="008B2AE1" w:rsidRDefault="003E766C" w:rsidP="008B2AE1">
      <w:pPr>
        <w:keepNext/>
        <w:spacing w:after="0" w:line="240" w:lineRule="auto"/>
        <w:jc w:val="both"/>
      </w:pPr>
      <w:r w:rsidRPr="008B2AE1">
        <w:rPr>
          <w:rFonts w:eastAsia="+mn-ea" w:cstheme="minorHAnsi"/>
          <w:b/>
          <w:bCs/>
          <w:color w:val="000000"/>
          <w:kern w:val="24"/>
        </w:rPr>
        <w:t>Supplementary</w:t>
      </w:r>
      <w:r w:rsidRPr="008B2AE1">
        <w:rPr>
          <w:rFonts w:eastAsia="+mn-ea" w:cstheme="minorHAnsi"/>
          <w:b/>
          <w:bCs/>
          <w:i/>
          <w:iCs/>
          <w:color w:val="000000"/>
          <w:kern w:val="24"/>
        </w:rPr>
        <w:t xml:space="preserve"> </w:t>
      </w:r>
      <w:r w:rsidR="00357F84" w:rsidRPr="008B2AE1">
        <w:rPr>
          <w:rFonts w:eastAsia="+mn-ea" w:cstheme="minorHAnsi"/>
          <w:b/>
          <w:bCs/>
          <w:color w:val="000000"/>
          <w:kern w:val="24"/>
        </w:rPr>
        <w:t>Figure</w:t>
      </w:r>
      <w:r w:rsidRPr="008B2AE1">
        <w:rPr>
          <w:rFonts w:eastAsia="+mn-ea" w:cstheme="minorHAnsi"/>
          <w:b/>
          <w:bCs/>
          <w:i/>
          <w:iCs/>
          <w:color w:val="000000"/>
          <w:kern w:val="24"/>
        </w:rPr>
        <w:t xml:space="preserve"> </w:t>
      </w:r>
      <w:r w:rsidR="00357F84" w:rsidRPr="008B2AE1">
        <w:rPr>
          <w:rFonts w:eastAsia="+mn-ea" w:cstheme="minorHAnsi"/>
          <w:b/>
          <w:bCs/>
          <w:i/>
          <w:iCs/>
          <w:color w:val="000000"/>
          <w:kern w:val="24"/>
        </w:rPr>
        <w:fldChar w:fldCharType="begin"/>
      </w:r>
      <w:r w:rsidR="00357F84" w:rsidRPr="008B2AE1">
        <w:rPr>
          <w:rFonts w:eastAsia="+mn-ea" w:cstheme="minorHAnsi"/>
          <w:b/>
          <w:bCs/>
          <w:color w:val="000000"/>
          <w:kern w:val="24"/>
        </w:rPr>
        <w:instrText xml:space="preserve"> SEQ Figure_S \* ARABIC </w:instrText>
      </w:r>
      <w:r w:rsidR="00357F84" w:rsidRPr="008B2AE1">
        <w:rPr>
          <w:rFonts w:eastAsia="+mn-ea" w:cstheme="minorHAnsi"/>
          <w:b/>
          <w:bCs/>
          <w:i/>
          <w:iCs/>
          <w:color w:val="000000"/>
          <w:kern w:val="24"/>
        </w:rPr>
        <w:fldChar w:fldCharType="separate"/>
      </w:r>
      <w:r w:rsidR="007E7EEA">
        <w:rPr>
          <w:rFonts w:eastAsia="+mn-ea" w:cstheme="minorHAnsi"/>
          <w:b/>
          <w:bCs/>
          <w:noProof/>
          <w:color w:val="000000"/>
          <w:kern w:val="24"/>
        </w:rPr>
        <w:t>1</w:t>
      </w:r>
      <w:r w:rsidR="00357F84" w:rsidRPr="008B2AE1">
        <w:rPr>
          <w:rFonts w:eastAsia="+mn-ea" w:cstheme="minorHAnsi"/>
          <w:b/>
          <w:bCs/>
          <w:i/>
          <w:iCs/>
          <w:color w:val="000000"/>
          <w:kern w:val="24"/>
        </w:rPr>
        <w:fldChar w:fldCharType="end"/>
      </w:r>
      <w:r w:rsidR="00357F84" w:rsidRPr="008B2AE1">
        <w:rPr>
          <w:rFonts w:eastAsia="+mn-ea" w:cstheme="minorHAnsi"/>
          <w:b/>
          <w:bCs/>
          <w:color w:val="000000"/>
          <w:kern w:val="24"/>
        </w:rPr>
        <w:t xml:space="preserve">. NAMPT inhibition </w:t>
      </w:r>
      <w:r w:rsidRPr="008B2AE1">
        <w:rPr>
          <w:rFonts w:eastAsia="+mn-ea" w:cstheme="minorHAnsi"/>
          <w:b/>
          <w:bCs/>
          <w:i/>
          <w:iCs/>
          <w:color w:val="000000"/>
          <w:kern w:val="24"/>
        </w:rPr>
        <w:t>by</w:t>
      </w:r>
      <w:r w:rsidR="00357F84" w:rsidRPr="008B2AE1">
        <w:rPr>
          <w:rFonts w:eastAsia="+mn-ea" w:cstheme="minorHAnsi"/>
          <w:b/>
          <w:bCs/>
          <w:color w:val="000000"/>
          <w:kern w:val="24"/>
        </w:rPr>
        <w:t xml:space="preserve"> FK866</w:t>
      </w:r>
      <w:r w:rsidRPr="008B2AE1">
        <w:rPr>
          <w:rFonts w:eastAsia="+mn-ea" w:cstheme="minorHAnsi"/>
          <w:b/>
          <w:bCs/>
          <w:i/>
          <w:iCs/>
          <w:color w:val="000000"/>
          <w:kern w:val="24"/>
        </w:rPr>
        <w:t xml:space="preserve"> and Compound 17.</w:t>
      </w:r>
      <w:r w:rsidR="00AD4360" w:rsidRPr="008B2AE1">
        <w:rPr>
          <w:rFonts w:eastAsia="+mn-ea" w:cstheme="minorHAnsi"/>
          <w:b/>
          <w:bCs/>
          <w:color w:val="000000"/>
          <w:kern w:val="24"/>
        </w:rPr>
        <w:t xml:space="preserve"> </w:t>
      </w:r>
      <w:r w:rsidR="00465325" w:rsidRPr="008B2AE1">
        <w:rPr>
          <w:rFonts w:eastAsia="+mn-ea" w:cstheme="minorHAnsi"/>
          <w:b/>
          <w:bCs/>
          <w:color w:val="000000"/>
          <w:kern w:val="24"/>
        </w:rPr>
        <w:t>(A)</w:t>
      </w:r>
      <w:r w:rsidR="00465325" w:rsidRPr="008B2AE1">
        <w:rPr>
          <w:rFonts w:cstheme="minorHAnsi"/>
        </w:rPr>
        <w:t xml:space="preserve"> </w:t>
      </w:r>
      <w:r w:rsidR="00465325" w:rsidRPr="008B2AE1">
        <w:rPr>
          <w:rFonts w:eastAsia="+mn-ea" w:cstheme="minorHAnsi"/>
          <w:color w:val="000000"/>
          <w:kern w:val="24"/>
        </w:rPr>
        <w:t>NMN levels detected in</w:t>
      </w:r>
      <w:r w:rsidR="00B5507D">
        <w:rPr>
          <w:rFonts w:eastAsia="+mn-ea" w:cstheme="minorHAnsi"/>
          <w:color w:val="000000"/>
          <w:kern w:val="24"/>
        </w:rPr>
        <w:t xml:space="preserve"> </w:t>
      </w:r>
      <w:r w:rsidR="00465325" w:rsidRPr="008B2AE1">
        <w:rPr>
          <w:rFonts w:eastAsia="+mn-ea" w:cstheme="minorHAnsi"/>
          <w:color w:val="000000"/>
          <w:kern w:val="24"/>
        </w:rPr>
        <w:t>reaction mixtures containing reaction buffer, wild-type recombinant human-NAMPT, NAM, FK866 (5 – 20nM) were incubated at 37°C for 15 min. n=3</w:t>
      </w:r>
      <w:r w:rsidR="00AD4360" w:rsidRPr="008B2AE1">
        <w:rPr>
          <w:rFonts w:eastAsia="+mn-ea" w:cstheme="minorHAnsi"/>
          <w:color w:val="000000"/>
          <w:kern w:val="24"/>
        </w:rPr>
        <w:t xml:space="preserve">. </w:t>
      </w:r>
      <w:r w:rsidR="00465325" w:rsidRPr="008B2AE1">
        <w:rPr>
          <w:rFonts w:eastAsia="+mn-ea" w:cstheme="minorHAnsi"/>
          <w:b/>
          <w:bCs/>
          <w:color w:val="000000"/>
          <w:kern w:val="24"/>
        </w:rPr>
        <w:t>(B)</w:t>
      </w:r>
      <w:r w:rsidR="00465325" w:rsidRPr="008B2AE1">
        <w:rPr>
          <w:rFonts w:eastAsia="+mn-ea" w:cstheme="minorHAnsi"/>
          <w:color w:val="000000"/>
          <w:kern w:val="24"/>
        </w:rPr>
        <w:t xml:space="preserve"> NMN levels </w:t>
      </w:r>
      <w:r w:rsidR="00A457B8" w:rsidRPr="008B2AE1">
        <w:rPr>
          <w:rFonts w:eastAsia="+mn-ea" w:cstheme="minorHAnsi"/>
          <w:color w:val="000000"/>
          <w:kern w:val="24"/>
        </w:rPr>
        <w:t>detected</w:t>
      </w:r>
      <w:r w:rsidR="00465325" w:rsidRPr="008B2AE1">
        <w:rPr>
          <w:rFonts w:eastAsia="+mn-ea" w:cstheme="minorHAnsi"/>
          <w:color w:val="000000"/>
          <w:kern w:val="24"/>
        </w:rPr>
        <w:t xml:space="preserve"> in MIN6 beta-cells cultured for 24 hr with FK866 (5 – 20nM)</w:t>
      </w:r>
      <w:r w:rsidR="00AD4360" w:rsidRPr="008B2AE1">
        <w:rPr>
          <w:rFonts w:eastAsia="+mn-ea" w:cstheme="minorHAnsi"/>
          <w:color w:val="000000"/>
          <w:kern w:val="24"/>
        </w:rPr>
        <w:t xml:space="preserve">. </w:t>
      </w:r>
      <w:r w:rsidR="00465325" w:rsidRPr="008B2AE1">
        <w:rPr>
          <w:rFonts w:eastAsia="+mn-ea" w:cstheme="minorHAnsi"/>
          <w:b/>
          <w:bCs/>
          <w:color w:val="000000"/>
          <w:kern w:val="24"/>
        </w:rPr>
        <w:t>(C)</w:t>
      </w:r>
      <w:r w:rsidR="00465325" w:rsidRPr="008B2AE1">
        <w:rPr>
          <w:rFonts w:eastAsia="+mn-ea" w:cstheme="minorHAnsi"/>
          <w:color w:val="000000"/>
          <w:kern w:val="24"/>
        </w:rPr>
        <w:t xml:space="preserve"> NAD+ levels </w:t>
      </w:r>
      <w:r w:rsidR="00A457B8" w:rsidRPr="008B2AE1">
        <w:rPr>
          <w:rFonts w:eastAsia="+mn-ea" w:cstheme="minorHAnsi"/>
          <w:color w:val="000000"/>
          <w:kern w:val="24"/>
        </w:rPr>
        <w:t xml:space="preserve">measured </w:t>
      </w:r>
      <w:r w:rsidR="00465325" w:rsidRPr="008B2AE1">
        <w:rPr>
          <w:rFonts w:eastAsia="+mn-ea" w:cstheme="minorHAnsi"/>
          <w:color w:val="000000"/>
          <w:kern w:val="24"/>
        </w:rPr>
        <w:t>in MIN6 beta-cells cultured for 24 hr with FK866 (5 – 20nM)</w:t>
      </w:r>
      <w:r w:rsidR="00AD4360" w:rsidRPr="008B2AE1">
        <w:rPr>
          <w:rFonts w:eastAsia="+mn-ea" w:cstheme="minorHAnsi"/>
          <w:color w:val="000000"/>
          <w:kern w:val="24"/>
        </w:rPr>
        <w:t xml:space="preserve">. </w:t>
      </w:r>
      <w:r w:rsidR="00465325" w:rsidRPr="008B2AE1">
        <w:rPr>
          <w:rFonts w:eastAsia="+mn-ea" w:cstheme="minorHAnsi"/>
          <w:b/>
          <w:bCs/>
          <w:color w:val="000000"/>
          <w:kern w:val="24"/>
        </w:rPr>
        <w:t>(D)</w:t>
      </w:r>
      <w:r w:rsidR="00465325" w:rsidRPr="008B2AE1">
        <w:rPr>
          <w:rFonts w:eastAsia="+mn-ea" w:cstheme="minorHAnsi"/>
          <w:color w:val="000000"/>
          <w:kern w:val="24"/>
        </w:rPr>
        <w:t xml:space="preserve"> N</w:t>
      </w:r>
      <w:r w:rsidR="00A457B8" w:rsidRPr="008B2AE1">
        <w:rPr>
          <w:rFonts w:eastAsia="+mn-ea" w:cstheme="minorHAnsi"/>
          <w:color w:val="000000"/>
          <w:kern w:val="24"/>
        </w:rPr>
        <w:t>AD+</w:t>
      </w:r>
      <w:r w:rsidR="00465325" w:rsidRPr="008B2AE1">
        <w:rPr>
          <w:rFonts w:eastAsia="+mn-ea" w:cstheme="minorHAnsi"/>
          <w:color w:val="000000"/>
          <w:kern w:val="24"/>
        </w:rPr>
        <w:t xml:space="preserve"> levels </w:t>
      </w:r>
      <w:r w:rsidR="00A457B8" w:rsidRPr="008B2AE1">
        <w:rPr>
          <w:rFonts w:eastAsia="+mn-ea" w:cstheme="minorHAnsi"/>
          <w:color w:val="000000"/>
          <w:kern w:val="24"/>
        </w:rPr>
        <w:t>measured</w:t>
      </w:r>
      <w:r w:rsidR="00465325" w:rsidRPr="008B2AE1">
        <w:rPr>
          <w:rFonts w:eastAsia="+mn-ea" w:cstheme="minorHAnsi"/>
          <w:color w:val="000000"/>
          <w:kern w:val="24"/>
        </w:rPr>
        <w:t xml:space="preserve"> in </w:t>
      </w:r>
      <w:r w:rsidR="00A457B8" w:rsidRPr="008B2AE1">
        <w:rPr>
          <w:rFonts w:eastAsia="+mn-ea" w:cstheme="minorHAnsi"/>
          <w:color w:val="000000"/>
          <w:kern w:val="24"/>
        </w:rPr>
        <w:t>isolated mouse pancreatic islets</w:t>
      </w:r>
      <w:r w:rsidR="00465325" w:rsidRPr="008B2AE1">
        <w:rPr>
          <w:rFonts w:eastAsia="+mn-ea" w:cstheme="minorHAnsi"/>
          <w:color w:val="000000"/>
          <w:kern w:val="24"/>
        </w:rPr>
        <w:t xml:space="preserve"> cultured for 24 hr with FK866</w:t>
      </w:r>
      <w:r w:rsidR="00A457B8" w:rsidRPr="008B2AE1">
        <w:rPr>
          <w:rFonts w:eastAsia="+mn-ea" w:cstheme="minorHAnsi"/>
          <w:color w:val="000000"/>
          <w:kern w:val="24"/>
        </w:rPr>
        <w:t xml:space="preserve"> (10 and 20 nM)</w:t>
      </w:r>
      <w:r w:rsidR="00AD4360" w:rsidRPr="008B2AE1">
        <w:rPr>
          <w:rFonts w:eastAsia="+mn-ea" w:cstheme="minorHAnsi"/>
          <w:color w:val="000000"/>
          <w:kern w:val="24"/>
        </w:rPr>
        <w:t xml:space="preserve">. </w:t>
      </w:r>
      <w:r w:rsidR="00A457B8" w:rsidRPr="008B2AE1">
        <w:rPr>
          <w:rFonts w:eastAsia="+mn-ea" w:cstheme="minorHAnsi"/>
          <w:b/>
          <w:bCs/>
          <w:color w:val="000000"/>
          <w:kern w:val="24"/>
        </w:rPr>
        <w:t>(E)</w:t>
      </w:r>
      <w:r w:rsidR="00A457B8" w:rsidRPr="008B2AE1">
        <w:rPr>
          <w:rFonts w:eastAsia="+mn-ea" w:cstheme="minorHAnsi"/>
          <w:color w:val="000000"/>
          <w:kern w:val="24"/>
        </w:rPr>
        <w:t xml:space="preserve"> NAD+ levels measured in isolated mouse pancreatic islets cultured for 24 hr with a cocktail of proinflammatory cytokines (IL-1β, TNFα and IFNγ; 1 ng/ml), or with both a cytokine cocktail and FK866 (10 and 20 nM)</w:t>
      </w:r>
      <w:r w:rsidR="005E6857" w:rsidRPr="008B2AE1">
        <w:rPr>
          <w:rFonts w:eastAsia="+mn-ea" w:cstheme="minorHAnsi"/>
          <w:i/>
          <w:iCs/>
          <w:color w:val="000000"/>
          <w:kern w:val="24"/>
        </w:rPr>
        <w:t xml:space="preserve">. </w:t>
      </w:r>
      <w:r w:rsidR="005E6857" w:rsidRPr="008B2AE1">
        <w:rPr>
          <w:rFonts w:eastAsia="+mn-ea" w:cstheme="minorHAnsi"/>
          <w:b/>
          <w:bCs/>
          <w:color w:val="000000"/>
          <w:kern w:val="24"/>
        </w:rPr>
        <w:t>(</w:t>
      </w:r>
      <w:r w:rsidR="005E6857" w:rsidRPr="008B2AE1">
        <w:rPr>
          <w:rFonts w:eastAsia="+mn-ea" w:cstheme="minorHAnsi"/>
          <w:b/>
          <w:bCs/>
          <w:i/>
          <w:iCs/>
          <w:color w:val="000000"/>
          <w:kern w:val="24"/>
        </w:rPr>
        <w:t>F</w:t>
      </w:r>
      <w:r w:rsidR="005E6857" w:rsidRPr="008B2AE1">
        <w:rPr>
          <w:rFonts w:eastAsia="+mn-ea" w:cstheme="minorHAnsi"/>
          <w:b/>
          <w:bCs/>
          <w:color w:val="000000"/>
          <w:kern w:val="24"/>
        </w:rPr>
        <w:t>)</w:t>
      </w:r>
      <w:r w:rsidR="005E6857" w:rsidRPr="008B2AE1">
        <w:rPr>
          <w:rFonts w:cstheme="minorHAnsi"/>
        </w:rPr>
        <w:t xml:space="preserve"> </w:t>
      </w:r>
      <w:r w:rsidR="005E6857" w:rsidRPr="008B2AE1">
        <w:rPr>
          <w:rFonts w:eastAsia="+mn-ea" w:cstheme="minorHAnsi"/>
          <w:color w:val="000000"/>
          <w:kern w:val="24"/>
        </w:rPr>
        <w:t xml:space="preserve">NMN levels detected in reaction mixtures containing reaction buffer, wild-type recombinant human-NAMPT, NAM, </w:t>
      </w:r>
      <w:r w:rsidR="005E6857" w:rsidRPr="00DE37E2">
        <w:rPr>
          <w:rFonts w:eastAsia="+mn-ea" w:cstheme="minorHAnsi"/>
          <w:color w:val="000000"/>
          <w:kern w:val="24"/>
        </w:rPr>
        <w:t>compound 17</w:t>
      </w:r>
      <w:r w:rsidR="005E6857" w:rsidRPr="008B2AE1">
        <w:rPr>
          <w:rFonts w:eastAsia="+mn-ea" w:cstheme="minorHAnsi"/>
          <w:color w:val="000000"/>
          <w:kern w:val="24"/>
        </w:rPr>
        <w:t xml:space="preserve"> (5</w:t>
      </w:r>
      <w:r w:rsidR="005E6857" w:rsidRPr="008B2AE1">
        <w:rPr>
          <w:rFonts w:eastAsia="+mn-ea" w:cstheme="minorHAnsi"/>
          <w:i/>
          <w:iCs/>
          <w:color w:val="000000"/>
          <w:kern w:val="24"/>
        </w:rPr>
        <w:t>0</w:t>
      </w:r>
      <w:r w:rsidR="005E6857" w:rsidRPr="008B2AE1">
        <w:rPr>
          <w:rFonts w:eastAsia="+mn-ea" w:cstheme="minorHAnsi"/>
          <w:color w:val="000000"/>
          <w:kern w:val="24"/>
        </w:rPr>
        <w:t xml:space="preserve"> – 20</w:t>
      </w:r>
      <w:r w:rsidR="005E6857" w:rsidRPr="008B2AE1">
        <w:rPr>
          <w:rFonts w:eastAsia="+mn-ea" w:cstheme="minorHAnsi"/>
          <w:i/>
          <w:iCs/>
          <w:color w:val="000000"/>
          <w:kern w:val="24"/>
        </w:rPr>
        <w:t xml:space="preserve">0 </w:t>
      </w:r>
      <w:r w:rsidR="005E6857" w:rsidRPr="008B2AE1">
        <w:rPr>
          <w:rFonts w:eastAsia="+mn-ea" w:cstheme="minorHAnsi"/>
          <w:color w:val="000000"/>
          <w:kern w:val="24"/>
        </w:rPr>
        <w:t>nM) were incubated at 37°C for 15 min. n=3.</w:t>
      </w:r>
      <w:r w:rsidR="005E6857" w:rsidRPr="008B2AE1">
        <w:rPr>
          <w:rFonts w:eastAsia="+mn-ea" w:cstheme="minorHAnsi"/>
          <w:i/>
          <w:iCs/>
          <w:color w:val="000000"/>
          <w:kern w:val="24"/>
        </w:rPr>
        <w:t xml:space="preserve"> </w:t>
      </w:r>
      <w:r w:rsidR="005E6857" w:rsidRPr="008B2AE1">
        <w:rPr>
          <w:rFonts w:eastAsia="+mn-ea" w:cstheme="minorHAnsi"/>
          <w:b/>
          <w:bCs/>
          <w:color w:val="000000"/>
          <w:kern w:val="24"/>
        </w:rPr>
        <w:t>(</w:t>
      </w:r>
      <w:r w:rsidR="005E6857" w:rsidRPr="008B2AE1">
        <w:rPr>
          <w:rFonts w:eastAsia="+mn-ea" w:cstheme="minorHAnsi"/>
          <w:b/>
          <w:bCs/>
          <w:i/>
          <w:iCs/>
          <w:color w:val="000000"/>
          <w:kern w:val="24"/>
        </w:rPr>
        <w:t>G</w:t>
      </w:r>
      <w:r w:rsidR="005E6857" w:rsidRPr="008B2AE1">
        <w:rPr>
          <w:rFonts w:eastAsia="+mn-ea" w:cstheme="minorHAnsi"/>
          <w:b/>
          <w:bCs/>
          <w:color w:val="000000"/>
          <w:kern w:val="24"/>
        </w:rPr>
        <w:t>)</w:t>
      </w:r>
      <w:r w:rsidR="005E6857" w:rsidRPr="008B2AE1">
        <w:rPr>
          <w:rFonts w:eastAsia="+mn-ea" w:cstheme="minorHAnsi"/>
          <w:color w:val="000000"/>
          <w:kern w:val="24"/>
        </w:rPr>
        <w:t xml:space="preserve"> NMN levels detected in MIN6 beta-cells cultured for 24 hr with FK866 (5 – 20nM). </w:t>
      </w:r>
      <w:r w:rsidR="005E6857" w:rsidRPr="008B2AE1">
        <w:rPr>
          <w:rFonts w:eastAsia="+mn-ea" w:cstheme="minorHAnsi"/>
          <w:b/>
          <w:bCs/>
          <w:color w:val="000000"/>
          <w:kern w:val="24"/>
        </w:rPr>
        <w:t>(</w:t>
      </w:r>
      <w:r w:rsidR="005E6857" w:rsidRPr="008B2AE1">
        <w:rPr>
          <w:rFonts w:eastAsia="+mn-ea" w:cstheme="minorHAnsi"/>
          <w:b/>
          <w:bCs/>
          <w:i/>
          <w:iCs/>
          <w:color w:val="000000"/>
          <w:kern w:val="24"/>
        </w:rPr>
        <w:t>H</w:t>
      </w:r>
      <w:r w:rsidR="005E6857" w:rsidRPr="008B2AE1">
        <w:rPr>
          <w:rFonts w:eastAsia="+mn-ea" w:cstheme="minorHAnsi"/>
          <w:b/>
          <w:bCs/>
          <w:color w:val="000000"/>
          <w:kern w:val="24"/>
        </w:rPr>
        <w:t>)</w:t>
      </w:r>
      <w:r w:rsidR="005E6857" w:rsidRPr="008B2AE1">
        <w:rPr>
          <w:rFonts w:eastAsia="+mn-ea" w:cstheme="minorHAnsi"/>
          <w:color w:val="000000"/>
          <w:kern w:val="24"/>
        </w:rPr>
        <w:t xml:space="preserve"> NAD+ levels measured in MIN6 beta-cells cultured for 24 hr with FK866 (5 – 20nM).</w:t>
      </w:r>
      <w:r w:rsidR="008B2AE1" w:rsidRPr="008B2AE1">
        <w:rPr>
          <w:rFonts w:eastAsia="+mn-ea" w:cstheme="minorHAnsi"/>
          <w:i/>
          <w:iCs/>
          <w:color w:val="000000"/>
          <w:kern w:val="24"/>
        </w:rPr>
        <w:t xml:space="preserve"> </w:t>
      </w:r>
      <w:r w:rsidR="008B2AE1" w:rsidRPr="008B2AE1">
        <w:rPr>
          <w:rFonts w:cstheme="minorHAnsi"/>
        </w:rPr>
        <w:t xml:space="preserve">Values in all graphs are represented as means ± SEM. Statistical significance between groups is depicted by *p &lt; 0.05, **p&lt;0.01; **p&lt;0.001. </w:t>
      </w:r>
    </w:p>
    <w:p w14:paraId="7FCFB70A" w14:textId="222B0549" w:rsidR="00A457B8" w:rsidRDefault="00A457B8" w:rsidP="00A457B8">
      <w:pPr>
        <w:pStyle w:val="Caption"/>
        <w:rPr>
          <w:rFonts w:asciiTheme="minorBidi" w:eastAsia="+mn-ea" w:hAnsiTheme="minorBidi"/>
          <w:b/>
          <w:bCs/>
          <w:i w:val="0"/>
          <w:iCs w:val="0"/>
          <w:color w:val="000000"/>
          <w:kern w:val="24"/>
        </w:rPr>
      </w:pPr>
    </w:p>
    <w:p w14:paraId="344FF221" w14:textId="04D2A047" w:rsidR="00B5507D" w:rsidRPr="00B5507D" w:rsidRDefault="00B5507D" w:rsidP="00B5507D"/>
    <w:p w14:paraId="0FA35600" w14:textId="77777777" w:rsidR="004464BB" w:rsidRDefault="004464BB" w:rsidP="00465325">
      <w:pPr>
        <w:spacing w:line="360" w:lineRule="auto"/>
        <w:rPr>
          <w:rFonts w:eastAsia="+mn-ea" w:cstheme="minorHAnsi"/>
          <w:b/>
          <w:bCs/>
          <w:color w:val="000000"/>
          <w:kern w:val="24"/>
        </w:rPr>
      </w:pPr>
    </w:p>
    <w:p w14:paraId="5B4C6CFF" w14:textId="1F321817" w:rsidR="004464BB" w:rsidRDefault="004464BB" w:rsidP="00465325">
      <w:pPr>
        <w:spacing w:line="360" w:lineRule="auto"/>
        <w:rPr>
          <w:rFonts w:eastAsia="+mn-ea" w:cstheme="minorHAnsi"/>
          <w:b/>
          <w:bCs/>
          <w:color w:val="000000"/>
          <w:kern w:val="24"/>
        </w:rPr>
      </w:pPr>
      <w:r>
        <w:rPr>
          <w:rFonts w:eastAsia="+mn-ea" w:cstheme="minorHAnsi"/>
          <w:b/>
          <w:bCs/>
          <w:noProof/>
          <w:color w:val="000000"/>
          <w:kern w:val="24"/>
        </w:rPr>
        <w:drawing>
          <wp:inline distT="0" distB="0" distL="0" distR="0" wp14:anchorId="58204840" wp14:editId="674ECADD">
            <wp:extent cx="4483100" cy="1740778"/>
            <wp:effectExtent l="0" t="0" r="0" b="0"/>
            <wp:docPr id="6543399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1608" cy="1751848"/>
                    </a:xfrm>
                    <a:prstGeom prst="rect">
                      <a:avLst/>
                    </a:prstGeom>
                    <a:noFill/>
                  </pic:spPr>
                </pic:pic>
              </a:graphicData>
            </a:graphic>
          </wp:inline>
        </w:drawing>
      </w:r>
    </w:p>
    <w:p w14:paraId="3FD41EA3" w14:textId="03D0A279" w:rsidR="00357F84" w:rsidRPr="00F8523B" w:rsidRDefault="00BC211B" w:rsidP="00465325">
      <w:pPr>
        <w:spacing w:line="360" w:lineRule="auto"/>
      </w:pPr>
      <w:r w:rsidRPr="008B2AE1">
        <w:rPr>
          <w:rFonts w:eastAsia="+mn-ea" w:cstheme="minorHAnsi"/>
          <w:b/>
          <w:bCs/>
          <w:color w:val="000000"/>
          <w:kern w:val="24"/>
        </w:rPr>
        <w:t>Supplementary</w:t>
      </w:r>
      <w:r w:rsidRPr="005D08A5">
        <w:rPr>
          <w:b/>
          <w:bCs/>
        </w:rPr>
        <w:t xml:space="preserve"> Fig. </w:t>
      </w:r>
      <w:r>
        <w:rPr>
          <w:b/>
          <w:bCs/>
        </w:rPr>
        <w:t>2</w:t>
      </w:r>
      <w:r w:rsidRPr="005D08A5">
        <w:rPr>
          <w:b/>
          <w:bCs/>
        </w:rPr>
        <w:t>. NAMPT</w:t>
      </w:r>
      <w:r>
        <w:rPr>
          <w:b/>
          <w:bCs/>
        </w:rPr>
        <w:t xml:space="preserve"> inhibition</w:t>
      </w:r>
      <w:r w:rsidRPr="005D08A5">
        <w:rPr>
          <w:b/>
          <w:bCs/>
        </w:rPr>
        <w:t xml:space="preserve"> </w:t>
      </w:r>
      <w:r>
        <w:rPr>
          <w:b/>
          <w:bCs/>
        </w:rPr>
        <w:t xml:space="preserve">has no effect on </w:t>
      </w:r>
      <w:r w:rsidR="009E24FF">
        <w:rPr>
          <w:b/>
          <w:bCs/>
        </w:rPr>
        <w:t>insulin secretion</w:t>
      </w:r>
      <w:r w:rsidR="00460DC2">
        <w:rPr>
          <w:b/>
          <w:bCs/>
        </w:rPr>
        <w:t xml:space="preserve"> nor islet apoptosis</w:t>
      </w:r>
      <w:r w:rsidR="000F4F38">
        <w:rPr>
          <w:b/>
          <w:bCs/>
        </w:rPr>
        <w:t xml:space="preserve"> in the absence of pro-inflammatory cytokines</w:t>
      </w:r>
      <w:r w:rsidRPr="005D08A5">
        <w:rPr>
          <w:b/>
          <w:bCs/>
        </w:rPr>
        <w:t xml:space="preserve">. </w:t>
      </w:r>
      <w:r w:rsidR="00460DC2">
        <w:rPr>
          <w:b/>
          <w:bCs/>
        </w:rPr>
        <w:t xml:space="preserve">(A) </w:t>
      </w:r>
      <w:r>
        <w:t xml:space="preserve">Static insulin secretion in response to basal (2mM) or 20mM glucose was assessed in isolated mouse islets incubated with either FK866 (10 nM) or compound 17 (200 nM) for 24 h. </w:t>
      </w:r>
      <w:r w:rsidR="00460DC2" w:rsidRPr="00485E7A">
        <w:rPr>
          <w:b/>
          <w:bCs/>
        </w:rPr>
        <w:t>(B)</w:t>
      </w:r>
      <w:r w:rsidR="00460DC2">
        <w:t xml:space="preserve"> </w:t>
      </w:r>
      <w:r w:rsidR="00E1112F">
        <w:t xml:space="preserve">Caspase 3/7 activity in mouse islets </w:t>
      </w:r>
      <w:r w:rsidR="002C0CB4">
        <w:t xml:space="preserve">either untreated or exposed to FK866 (10 nM) for 24 h. </w:t>
      </w:r>
      <w:r w:rsidR="00E1112F">
        <w:t xml:space="preserve"> </w:t>
      </w:r>
      <w:r>
        <w:t xml:space="preserve">N = 5 – </w:t>
      </w:r>
      <w:r w:rsidR="00485E7A">
        <w:t>14</w:t>
      </w:r>
      <w:r>
        <w:t xml:space="preserve"> replicates from 6 mice and representative of three independent experiments.</w:t>
      </w:r>
    </w:p>
    <w:p w14:paraId="2298DAC1" w14:textId="71FD4A36" w:rsidR="00A457B8" w:rsidRDefault="00A457B8" w:rsidP="00A457B8">
      <w:pPr>
        <w:spacing w:line="360" w:lineRule="auto"/>
      </w:pPr>
    </w:p>
    <w:p w14:paraId="5AE6F3C2" w14:textId="77777777" w:rsidR="00F519C3" w:rsidRPr="00F519C3" w:rsidRDefault="00F519C3" w:rsidP="00F519C3"/>
    <w:p w14:paraId="621CE4D1" w14:textId="77777777" w:rsidR="00F519C3" w:rsidRPr="00F519C3" w:rsidRDefault="00F519C3" w:rsidP="00F519C3"/>
    <w:p w14:paraId="055AE8AF" w14:textId="77777777" w:rsidR="00F519C3" w:rsidRDefault="00F519C3" w:rsidP="00F519C3"/>
    <w:p w14:paraId="29A9FE27" w14:textId="77777777" w:rsidR="00F519C3" w:rsidRDefault="00F519C3" w:rsidP="00F519C3"/>
    <w:p w14:paraId="7019F835" w14:textId="2F53F5FA" w:rsidR="00F519C3" w:rsidRDefault="00F519C3" w:rsidP="00F519C3">
      <w:pPr>
        <w:tabs>
          <w:tab w:val="left" w:pos="1387"/>
        </w:tabs>
      </w:pPr>
      <w:r>
        <w:tab/>
      </w:r>
    </w:p>
    <w:p w14:paraId="6195AF09" w14:textId="77777777" w:rsidR="00F519C3" w:rsidRDefault="00F519C3" w:rsidP="00F519C3">
      <w:pPr>
        <w:tabs>
          <w:tab w:val="left" w:pos="1387"/>
        </w:tabs>
      </w:pPr>
    </w:p>
    <w:p w14:paraId="3CCFAE7B" w14:textId="77777777" w:rsidR="00F519C3" w:rsidRDefault="00F519C3" w:rsidP="00F519C3">
      <w:pPr>
        <w:tabs>
          <w:tab w:val="left" w:pos="1387"/>
        </w:tabs>
      </w:pPr>
    </w:p>
    <w:p w14:paraId="7FD31F6A" w14:textId="77777777" w:rsidR="00F519C3" w:rsidRDefault="00F519C3" w:rsidP="00F519C3">
      <w:pPr>
        <w:tabs>
          <w:tab w:val="left" w:pos="1387"/>
        </w:tabs>
      </w:pPr>
    </w:p>
    <w:p w14:paraId="1B42B892" w14:textId="77777777" w:rsidR="00F519C3" w:rsidRDefault="00F519C3" w:rsidP="00F519C3">
      <w:pPr>
        <w:tabs>
          <w:tab w:val="left" w:pos="1387"/>
        </w:tabs>
      </w:pPr>
    </w:p>
    <w:p w14:paraId="0D890B99" w14:textId="77777777" w:rsidR="00F519C3" w:rsidRDefault="00F519C3" w:rsidP="00F519C3">
      <w:pPr>
        <w:tabs>
          <w:tab w:val="left" w:pos="1387"/>
        </w:tabs>
      </w:pPr>
    </w:p>
    <w:p w14:paraId="440F4C14" w14:textId="77777777" w:rsidR="00F519C3" w:rsidRDefault="00F519C3" w:rsidP="00F519C3">
      <w:pPr>
        <w:tabs>
          <w:tab w:val="left" w:pos="1387"/>
        </w:tabs>
      </w:pPr>
    </w:p>
    <w:p w14:paraId="37FF4BCD" w14:textId="77777777" w:rsidR="00F519C3" w:rsidRDefault="00F519C3" w:rsidP="00F519C3">
      <w:pPr>
        <w:tabs>
          <w:tab w:val="left" w:pos="1387"/>
        </w:tabs>
      </w:pPr>
    </w:p>
    <w:p w14:paraId="58B7583E" w14:textId="77777777" w:rsidR="00F519C3" w:rsidRDefault="00F519C3" w:rsidP="00F519C3">
      <w:pPr>
        <w:tabs>
          <w:tab w:val="left" w:pos="1387"/>
        </w:tabs>
      </w:pPr>
    </w:p>
    <w:p w14:paraId="67EB47A3" w14:textId="77777777" w:rsidR="00F519C3" w:rsidRDefault="00F519C3" w:rsidP="00F519C3">
      <w:pPr>
        <w:tabs>
          <w:tab w:val="left" w:pos="1387"/>
        </w:tabs>
      </w:pPr>
    </w:p>
    <w:p w14:paraId="452C8A8B" w14:textId="77777777" w:rsidR="00F519C3" w:rsidRDefault="00F519C3" w:rsidP="00F519C3">
      <w:pPr>
        <w:tabs>
          <w:tab w:val="left" w:pos="1387"/>
        </w:tabs>
      </w:pPr>
    </w:p>
    <w:p w14:paraId="1B2745E5" w14:textId="4E658868" w:rsidR="00F519C3" w:rsidRDefault="00F519C3" w:rsidP="00F519C3">
      <w:pPr>
        <w:tabs>
          <w:tab w:val="left" w:pos="1387"/>
        </w:tabs>
      </w:pPr>
      <w:r w:rsidRPr="00F519C3">
        <w:rPr>
          <w:noProof/>
        </w:rPr>
        <w:lastRenderedPageBreak/>
        <w:drawing>
          <wp:inline distT="0" distB="0" distL="0" distR="0" wp14:anchorId="282EEBA1" wp14:editId="1D3FA5B1">
            <wp:extent cx="5133754" cy="5578679"/>
            <wp:effectExtent l="0" t="0" r="0" b="0"/>
            <wp:docPr id="681633077" name="Picture 1" descr="A black screen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33077" name="Picture 1" descr="A black screen with white lines&#10;&#10;AI-generated content may be incorrect."/>
                    <pic:cNvPicPr/>
                  </pic:nvPicPr>
                  <pic:blipFill>
                    <a:blip r:embed="rId8"/>
                    <a:stretch>
                      <a:fillRect/>
                    </a:stretch>
                  </pic:blipFill>
                  <pic:spPr>
                    <a:xfrm>
                      <a:off x="0" y="0"/>
                      <a:ext cx="5147356" cy="5593460"/>
                    </a:xfrm>
                    <a:prstGeom prst="rect">
                      <a:avLst/>
                    </a:prstGeom>
                  </pic:spPr>
                </pic:pic>
              </a:graphicData>
            </a:graphic>
          </wp:inline>
        </w:drawing>
      </w:r>
    </w:p>
    <w:p w14:paraId="31C371F1" w14:textId="6B33F2B4" w:rsidR="001533AA" w:rsidRDefault="001533AA" w:rsidP="001533AA">
      <w:pPr>
        <w:tabs>
          <w:tab w:val="left" w:pos="0"/>
        </w:tabs>
      </w:pPr>
      <w:r w:rsidRPr="001533AA">
        <w:rPr>
          <w:b/>
          <w:bCs/>
        </w:rPr>
        <w:t xml:space="preserve">Supplementary </w:t>
      </w:r>
      <w:r>
        <w:rPr>
          <w:b/>
          <w:bCs/>
        </w:rPr>
        <w:t>Figure</w:t>
      </w:r>
      <w:r w:rsidRPr="001533AA">
        <w:rPr>
          <w:b/>
          <w:bCs/>
        </w:rPr>
        <w:t xml:space="preserve"> </w:t>
      </w:r>
      <w:r>
        <w:rPr>
          <w:b/>
          <w:bCs/>
        </w:rPr>
        <w:t>3</w:t>
      </w:r>
      <w:r w:rsidRPr="001533AA">
        <w:rPr>
          <w:b/>
          <w:bCs/>
        </w:rPr>
        <w:t xml:space="preserve">: </w:t>
      </w:r>
      <w:r w:rsidRPr="001533AA">
        <w:t>Changes in expression of NAD metabolism and sirtuin genes, generated from bulk islet RNAseq data. Data shows gene changes in response to control v cytokine treatment and cytokine v FK866 treatment</w:t>
      </w:r>
    </w:p>
    <w:p w14:paraId="7977C1F5" w14:textId="77777777" w:rsidR="009C1C5D" w:rsidRDefault="009C1C5D" w:rsidP="001533AA">
      <w:pPr>
        <w:tabs>
          <w:tab w:val="left" w:pos="0"/>
        </w:tabs>
      </w:pPr>
    </w:p>
    <w:p w14:paraId="25A67D6F" w14:textId="77777777" w:rsidR="009C1C5D" w:rsidRDefault="009C1C5D" w:rsidP="001533AA">
      <w:pPr>
        <w:tabs>
          <w:tab w:val="left" w:pos="0"/>
        </w:tabs>
      </w:pPr>
    </w:p>
    <w:p w14:paraId="0DB77889" w14:textId="77777777" w:rsidR="009C1C5D" w:rsidRDefault="009C1C5D" w:rsidP="001533AA">
      <w:pPr>
        <w:tabs>
          <w:tab w:val="left" w:pos="0"/>
        </w:tabs>
      </w:pPr>
    </w:p>
    <w:p w14:paraId="291680F4" w14:textId="77777777" w:rsidR="009C1C5D" w:rsidRDefault="009C1C5D" w:rsidP="001533AA">
      <w:pPr>
        <w:tabs>
          <w:tab w:val="left" w:pos="0"/>
        </w:tabs>
      </w:pPr>
    </w:p>
    <w:p w14:paraId="2CB4F380" w14:textId="77777777" w:rsidR="009C1C5D" w:rsidRDefault="009C1C5D" w:rsidP="001533AA">
      <w:pPr>
        <w:tabs>
          <w:tab w:val="left" w:pos="0"/>
        </w:tabs>
      </w:pPr>
    </w:p>
    <w:p w14:paraId="344CDAF4" w14:textId="77777777" w:rsidR="009C1C5D" w:rsidRDefault="009C1C5D" w:rsidP="001533AA">
      <w:pPr>
        <w:tabs>
          <w:tab w:val="left" w:pos="0"/>
        </w:tabs>
      </w:pPr>
    </w:p>
    <w:p w14:paraId="424F0C6E" w14:textId="77777777" w:rsidR="009C1C5D" w:rsidRDefault="009C1C5D" w:rsidP="001533AA">
      <w:pPr>
        <w:tabs>
          <w:tab w:val="left" w:pos="0"/>
        </w:tabs>
      </w:pPr>
    </w:p>
    <w:p w14:paraId="2D3BAFB8" w14:textId="77777777" w:rsidR="009C1C5D" w:rsidRDefault="009C1C5D" w:rsidP="001533AA">
      <w:pPr>
        <w:tabs>
          <w:tab w:val="left" w:pos="0"/>
        </w:tabs>
      </w:pPr>
    </w:p>
    <w:p w14:paraId="1A785615" w14:textId="77777777" w:rsidR="009C1C5D" w:rsidRDefault="009C1C5D" w:rsidP="001533AA">
      <w:pPr>
        <w:tabs>
          <w:tab w:val="left" w:pos="0"/>
        </w:tabs>
      </w:pPr>
    </w:p>
    <w:p w14:paraId="146F7392" w14:textId="68DB6449" w:rsidR="009C1C5D" w:rsidRDefault="00D57BCC" w:rsidP="001533AA">
      <w:pPr>
        <w:tabs>
          <w:tab w:val="left" w:pos="0"/>
        </w:tabs>
        <w:rPr>
          <w:b/>
          <w:bCs/>
        </w:rPr>
      </w:pPr>
      <w:r w:rsidRPr="00D57BCC">
        <w:rPr>
          <w:b/>
          <w:bCs/>
          <w:noProof/>
        </w:rPr>
        <w:lastRenderedPageBreak/>
        <mc:AlternateContent>
          <mc:Choice Requires="wps">
            <w:drawing>
              <wp:anchor distT="0" distB="0" distL="114300" distR="114300" simplePos="0" relativeHeight="251665408" behindDoc="0" locked="0" layoutInCell="1" allowOverlap="1" wp14:anchorId="07271E58" wp14:editId="24C2A710">
                <wp:simplePos x="0" y="0"/>
                <wp:positionH relativeFrom="column">
                  <wp:posOffset>2868750</wp:posOffset>
                </wp:positionH>
                <wp:positionV relativeFrom="paragraph">
                  <wp:posOffset>1970615</wp:posOffset>
                </wp:positionV>
                <wp:extent cx="366395" cy="302004"/>
                <wp:effectExtent l="0" t="0" r="0" b="0"/>
                <wp:wrapNone/>
                <wp:docPr id="1803573432" name="TextBox 5"/>
                <wp:cNvGraphicFramePr/>
                <a:graphic xmlns:a="http://schemas.openxmlformats.org/drawingml/2006/main">
                  <a:graphicData uri="http://schemas.microsoft.com/office/word/2010/wordprocessingShape">
                    <wps:wsp>
                      <wps:cNvSpPr txBox="1"/>
                      <wps:spPr>
                        <a:xfrm flipH="1">
                          <a:off x="0" y="0"/>
                          <a:ext cx="366395" cy="302004"/>
                        </a:xfrm>
                        <a:prstGeom prst="rect">
                          <a:avLst/>
                        </a:prstGeom>
                        <a:noFill/>
                      </wps:spPr>
                      <wps:txbx>
                        <w:txbxContent>
                          <w:p w14:paraId="0D12FFEB" w14:textId="35CE44F1"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7271E58" id="_x0000_t202" coordsize="21600,21600" o:spt="202" path="m,l,21600r21600,l21600,xe">
                <v:stroke joinstyle="miter"/>
                <v:path gradientshapeok="t" o:connecttype="rect"/>
              </v:shapetype>
              <v:shape id="TextBox 5" o:spid="_x0000_s1026" type="#_x0000_t202" style="position:absolute;margin-left:225.9pt;margin-top:155.15pt;width:28.85pt;height:23.8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" filled="f" stroked="f">
                <v:textbox>
                  <w:txbxContent>
                    <w:p w14:paraId="0D12FFEB" w14:textId="35CE44F1"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E</w:t>
                      </w:r>
                    </w:p>
                  </w:txbxContent>
                </v:textbox>
              </v:shape>
            </w:pict>
          </mc:Fallback>
        </mc:AlternateContent>
      </w:r>
      <w:r w:rsidRPr="00D57BCC">
        <w:rPr>
          <w:b/>
          <w:bCs/>
          <w:noProof/>
        </w:rPr>
        <mc:AlternateContent>
          <mc:Choice Requires="wps">
            <w:drawing>
              <wp:anchor distT="0" distB="0" distL="114300" distR="114300" simplePos="0" relativeHeight="251664384" behindDoc="0" locked="0" layoutInCell="1" allowOverlap="1" wp14:anchorId="53530A00" wp14:editId="505FBF6C">
                <wp:simplePos x="0" y="0"/>
                <wp:positionH relativeFrom="column">
                  <wp:posOffset>360091</wp:posOffset>
                </wp:positionH>
                <wp:positionV relativeFrom="paragraph">
                  <wp:posOffset>2004561</wp:posOffset>
                </wp:positionV>
                <wp:extent cx="377126" cy="267836"/>
                <wp:effectExtent l="0" t="0" r="0" b="0"/>
                <wp:wrapNone/>
                <wp:docPr id="1735278622" name="TextBox 4"/>
                <wp:cNvGraphicFramePr/>
                <a:graphic xmlns:a="http://schemas.openxmlformats.org/drawingml/2006/main">
                  <a:graphicData uri="http://schemas.microsoft.com/office/word/2010/wordprocessingShape">
                    <wps:wsp>
                      <wps:cNvSpPr txBox="1"/>
                      <wps:spPr>
                        <a:xfrm flipH="1">
                          <a:off x="0" y="0"/>
                          <a:ext cx="377126" cy="267836"/>
                        </a:xfrm>
                        <a:prstGeom prst="rect">
                          <a:avLst/>
                        </a:prstGeom>
                        <a:noFill/>
                      </wps:spPr>
                      <wps:txbx>
                        <w:txbxContent>
                          <w:p w14:paraId="48C0095D" w14:textId="4F625AA0"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D</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530A00" id="TextBox 4" o:spid="_x0000_s1027" type="#_x0000_t202" style="position:absolute;margin-left:28.35pt;margin-top:157.85pt;width:29.7pt;height:21.1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" filled="f" stroked="f">
                <v:textbox>
                  <w:txbxContent>
                    <w:p w14:paraId="48C0095D" w14:textId="4F625AA0"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D</w:t>
                      </w:r>
                    </w:p>
                  </w:txbxContent>
                </v:textbox>
              </v:shape>
            </w:pict>
          </mc:Fallback>
        </mc:AlternateContent>
      </w:r>
      <w:r w:rsidRPr="00D57BCC">
        <w:rPr>
          <w:b/>
          <w:bCs/>
          <w:noProof/>
        </w:rPr>
        <mc:AlternateContent>
          <mc:Choice Requires="wps">
            <w:drawing>
              <wp:anchor distT="0" distB="0" distL="114300" distR="114300" simplePos="0" relativeHeight="251662336" behindDoc="0" locked="0" layoutInCell="1" allowOverlap="1" wp14:anchorId="4741B53B" wp14:editId="50A16605">
                <wp:simplePos x="0" y="0"/>
                <wp:positionH relativeFrom="column">
                  <wp:posOffset>3782387</wp:posOffset>
                </wp:positionH>
                <wp:positionV relativeFrom="paragraph">
                  <wp:posOffset>-192405</wp:posOffset>
                </wp:positionV>
                <wp:extent cx="277413" cy="276837"/>
                <wp:effectExtent l="0" t="0" r="0" b="0"/>
                <wp:wrapNone/>
                <wp:docPr id="1100593698" name="TextBox 5"/>
                <wp:cNvGraphicFramePr/>
                <a:graphic xmlns:a="http://schemas.openxmlformats.org/drawingml/2006/main">
                  <a:graphicData uri="http://schemas.microsoft.com/office/word/2010/wordprocessingShape">
                    <wps:wsp>
                      <wps:cNvSpPr txBox="1"/>
                      <wps:spPr>
                        <a:xfrm flipH="1">
                          <a:off x="0" y="0"/>
                          <a:ext cx="277413" cy="276837"/>
                        </a:xfrm>
                        <a:prstGeom prst="rect">
                          <a:avLst/>
                        </a:prstGeom>
                        <a:noFill/>
                      </wps:spPr>
                      <wps:txbx>
                        <w:txbxContent>
                          <w:p w14:paraId="778F0D39" w14:textId="0851A17D"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41B53B" id="_x0000_s1028" type="#_x0000_t202" style="position:absolute;margin-left:297.85pt;margin-top:-15.15pt;width:21.85pt;height:21.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" filled="f" stroked="f">
                <v:textbox>
                  <w:txbxContent>
                    <w:p w14:paraId="778F0D39" w14:textId="0851A17D" w:rsidR="00D57BCC" w:rsidRPr="00D57BCC" w:rsidRDefault="00D57BCC" w:rsidP="00D57BCC">
                      <w:pPr>
                        <w:rPr>
                          <w:rFonts w:hAnsi="Calibri"/>
                          <w:b/>
                          <w:bCs/>
                          <w:color w:val="000000" w:themeColor="text1"/>
                          <w:kern w:val="24"/>
                          <w:sz w:val="28"/>
                          <w:szCs w:val="28"/>
                        </w:rPr>
                      </w:pPr>
                      <w:r>
                        <w:rPr>
                          <w:rFonts w:hAnsi="Calibri"/>
                          <w:b/>
                          <w:bCs/>
                          <w:color w:val="000000" w:themeColor="text1"/>
                          <w:kern w:val="24"/>
                          <w:sz w:val="28"/>
                          <w:szCs w:val="28"/>
                        </w:rPr>
                        <w:t>C</w:t>
                      </w:r>
                    </w:p>
                  </w:txbxContent>
                </v:textbox>
              </v:shape>
            </w:pict>
          </mc:Fallback>
        </mc:AlternateContent>
      </w:r>
      <w:r w:rsidRPr="00D57BCC">
        <w:rPr>
          <w:b/>
          <w:bCs/>
          <w:noProof/>
        </w:rPr>
        <mc:AlternateContent>
          <mc:Choice Requires="wps">
            <w:drawing>
              <wp:anchor distT="0" distB="0" distL="114300" distR="114300" simplePos="0" relativeHeight="251660288" behindDoc="0" locked="0" layoutInCell="1" allowOverlap="1" wp14:anchorId="7D7E93E7" wp14:editId="4B785FB3">
                <wp:simplePos x="0" y="0"/>
                <wp:positionH relativeFrom="column">
                  <wp:posOffset>1937554</wp:posOffset>
                </wp:positionH>
                <wp:positionV relativeFrom="paragraph">
                  <wp:posOffset>-192335</wp:posOffset>
                </wp:positionV>
                <wp:extent cx="370205" cy="276837"/>
                <wp:effectExtent l="0" t="0" r="0" b="0"/>
                <wp:wrapNone/>
                <wp:docPr id="6" name="TextBox 5">
                  <a:extLst xmlns:a="http://schemas.openxmlformats.org/drawingml/2006/main">
                    <a:ext uri="{FF2B5EF4-FFF2-40B4-BE49-F238E27FC236}">
                      <a16:creationId xmlns:a16="http://schemas.microsoft.com/office/drawing/2014/main" id="{1915AEFD-B879-EB3D-80C8-F1F41E56163D}"/>
                    </a:ext>
                  </a:extLst>
                </wp:docPr>
                <wp:cNvGraphicFramePr/>
                <a:graphic xmlns:a="http://schemas.openxmlformats.org/drawingml/2006/main">
                  <a:graphicData uri="http://schemas.microsoft.com/office/word/2010/wordprocessingShape">
                    <wps:wsp>
                      <wps:cNvSpPr txBox="1"/>
                      <wps:spPr>
                        <a:xfrm>
                          <a:off x="0" y="0"/>
                          <a:ext cx="370205" cy="276837"/>
                        </a:xfrm>
                        <a:prstGeom prst="rect">
                          <a:avLst/>
                        </a:prstGeom>
                        <a:noFill/>
                      </wps:spPr>
                      <wps:txbx>
                        <w:txbxContent>
                          <w:p w14:paraId="5EFE551F" w14:textId="77777777" w:rsidR="00D57BCC" w:rsidRPr="00D57BCC" w:rsidRDefault="00D57BCC" w:rsidP="00D57BCC">
                            <w:pPr>
                              <w:rPr>
                                <w:rFonts w:hAnsi="Calibri"/>
                                <w:b/>
                                <w:bCs/>
                                <w:color w:val="000000" w:themeColor="text1"/>
                                <w:kern w:val="24"/>
                                <w:sz w:val="28"/>
                                <w:szCs w:val="28"/>
                              </w:rPr>
                            </w:pPr>
                            <w:r w:rsidRPr="00D57BCC">
                              <w:rPr>
                                <w:rFonts w:hAnsi="Calibri"/>
                                <w:b/>
                                <w:bCs/>
                                <w:color w:val="000000" w:themeColor="text1"/>
                                <w:kern w:val="24"/>
                                <w:sz w:val="28"/>
                                <w:szCs w:val="28"/>
                              </w:rPr>
                              <w:t>B</w:t>
                            </w:r>
                          </w:p>
                        </w:txbxContent>
                      </wps:txbx>
                      <wps:bodyPr wrap="none" rtlCol="0">
                        <a:noAutofit/>
                      </wps:bodyPr>
                    </wps:wsp>
                  </a:graphicData>
                </a:graphic>
                <wp14:sizeRelV relativeFrom="margin">
                  <wp14:pctHeight>0</wp14:pctHeight>
                </wp14:sizeRelV>
              </wp:anchor>
            </w:drawing>
          </mc:Choice>
          <mc:Fallback>
            <w:pict>
              <v:shape w14:anchorId="7D7E93E7" id="_x0000_s1029" type="#_x0000_t202" style="position:absolute;margin-left:152.55pt;margin-top:-15.15pt;width:29.15pt;height:21.8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" filled="f" stroked="f">
                <v:textbox>
                  <w:txbxContent>
                    <w:p w14:paraId="5EFE551F" w14:textId="77777777" w:rsidR="00D57BCC" w:rsidRPr="00D57BCC" w:rsidRDefault="00D57BCC" w:rsidP="00D57BCC">
                      <w:pPr>
                        <w:rPr>
                          <w:rFonts w:hAnsi="Calibri"/>
                          <w:b/>
                          <w:bCs/>
                          <w:color w:val="000000" w:themeColor="text1"/>
                          <w:kern w:val="24"/>
                          <w:sz w:val="28"/>
                          <w:szCs w:val="28"/>
                        </w:rPr>
                      </w:pPr>
                      <w:r w:rsidRPr="00D57BCC">
                        <w:rPr>
                          <w:rFonts w:hAnsi="Calibri"/>
                          <w:b/>
                          <w:bCs/>
                          <w:color w:val="000000" w:themeColor="text1"/>
                          <w:kern w:val="24"/>
                          <w:sz w:val="28"/>
                          <w:szCs w:val="28"/>
                        </w:rPr>
                        <w:t>B</w:t>
                      </w:r>
                    </w:p>
                  </w:txbxContent>
                </v:textbox>
              </v:shape>
            </w:pict>
          </mc:Fallback>
        </mc:AlternateContent>
      </w:r>
      <w:r w:rsidRPr="00D57BCC">
        <w:rPr>
          <w:b/>
          <w:bCs/>
          <w:noProof/>
        </w:rPr>
        <mc:AlternateContent>
          <mc:Choice Requires="wps">
            <w:drawing>
              <wp:anchor distT="0" distB="0" distL="114300" distR="114300" simplePos="0" relativeHeight="251659264" behindDoc="0" locked="0" layoutInCell="1" allowOverlap="1" wp14:anchorId="2328D500" wp14:editId="1C8401D4">
                <wp:simplePos x="0" y="0"/>
                <wp:positionH relativeFrom="column">
                  <wp:posOffset>147978</wp:posOffset>
                </wp:positionH>
                <wp:positionV relativeFrom="paragraph">
                  <wp:posOffset>-183946</wp:posOffset>
                </wp:positionV>
                <wp:extent cx="370205" cy="318782"/>
                <wp:effectExtent l="0" t="0" r="0" b="0"/>
                <wp:wrapNone/>
                <wp:docPr id="5" name="TextBox 4">
                  <a:extLst xmlns:a="http://schemas.openxmlformats.org/drawingml/2006/main">
                    <a:ext uri="{FF2B5EF4-FFF2-40B4-BE49-F238E27FC236}">
                      <a16:creationId xmlns:a16="http://schemas.microsoft.com/office/drawing/2014/main" id="{75111E11-10D0-A5E5-6954-4484D7F06503}"/>
                    </a:ext>
                  </a:extLst>
                </wp:docPr>
                <wp:cNvGraphicFramePr/>
                <a:graphic xmlns:a="http://schemas.openxmlformats.org/drawingml/2006/main">
                  <a:graphicData uri="http://schemas.microsoft.com/office/word/2010/wordprocessingShape">
                    <wps:wsp>
                      <wps:cNvSpPr txBox="1"/>
                      <wps:spPr>
                        <a:xfrm>
                          <a:off x="0" y="0"/>
                          <a:ext cx="370205" cy="318782"/>
                        </a:xfrm>
                        <a:prstGeom prst="rect">
                          <a:avLst/>
                        </a:prstGeom>
                        <a:noFill/>
                      </wps:spPr>
                      <wps:txbx>
                        <w:txbxContent>
                          <w:p w14:paraId="2014F4C1" w14:textId="77777777" w:rsidR="00D57BCC" w:rsidRPr="00D57BCC" w:rsidRDefault="00D57BCC" w:rsidP="00D57BCC">
                            <w:pPr>
                              <w:rPr>
                                <w:rFonts w:hAnsi="Calibri"/>
                                <w:b/>
                                <w:bCs/>
                                <w:color w:val="000000" w:themeColor="text1"/>
                                <w:kern w:val="24"/>
                                <w:sz w:val="28"/>
                                <w:szCs w:val="28"/>
                              </w:rPr>
                            </w:pPr>
                            <w:r w:rsidRPr="00D57BCC">
                              <w:rPr>
                                <w:rFonts w:hAnsi="Calibri"/>
                                <w:b/>
                                <w:bCs/>
                                <w:color w:val="000000" w:themeColor="text1"/>
                                <w:kern w:val="24"/>
                                <w:sz w:val="28"/>
                                <w:szCs w:val="28"/>
                              </w:rPr>
                              <w:t>A</w:t>
                            </w:r>
                          </w:p>
                        </w:txbxContent>
                      </wps:txbx>
                      <wps:bodyPr wrap="none" rtlCol="0">
                        <a:noAutofit/>
                      </wps:bodyPr>
                    </wps:wsp>
                  </a:graphicData>
                </a:graphic>
                <wp14:sizeRelV relativeFrom="margin">
                  <wp14:pctHeight>0</wp14:pctHeight>
                </wp14:sizeRelV>
              </wp:anchor>
            </w:drawing>
          </mc:Choice>
          <mc:Fallback>
            <w:pict>
              <v:shape w14:anchorId="2328D500" id="_x0000_s1030" type="#_x0000_t202" style="position:absolute;margin-left:11.65pt;margin-top:-14.5pt;width:29.15pt;height:25.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" filled="f" stroked="f">
                <v:textbox>
                  <w:txbxContent>
                    <w:p w14:paraId="2014F4C1" w14:textId="77777777" w:rsidR="00D57BCC" w:rsidRPr="00D57BCC" w:rsidRDefault="00D57BCC" w:rsidP="00D57BCC">
                      <w:pPr>
                        <w:rPr>
                          <w:rFonts w:hAnsi="Calibri"/>
                          <w:b/>
                          <w:bCs/>
                          <w:color w:val="000000" w:themeColor="text1"/>
                          <w:kern w:val="24"/>
                          <w:sz w:val="28"/>
                          <w:szCs w:val="28"/>
                        </w:rPr>
                      </w:pPr>
                      <w:r w:rsidRPr="00D57BCC">
                        <w:rPr>
                          <w:rFonts w:hAnsi="Calibri"/>
                          <w:b/>
                          <w:bCs/>
                          <w:color w:val="000000" w:themeColor="text1"/>
                          <w:kern w:val="24"/>
                          <w:sz w:val="28"/>
                          <w:szCs w:val="28"/>
                        </w:rPr>
                        <w:t>A</w:t>
                      </w:r>
                    </w:p>
                  </w:txbxContent>
                </v:textbox>
              </v:shape>
            </w:pict>
          </mc:Fallback>
        </mc:AlternateContent>
      </w:r>
      <w:r w:rsidR="009C1C5D" w:rsidRPr="009C1C5D">
        <w:rPr>
          <w:b/>
          <w:bCs/>
          <w:noProof/>
        </w:rPr>
        <w:drawing>
          <wp:inline distT="0" distB="0" distL="0" distR="0" wp14:anchorId="3487A50D" wp14:editId="29AFC5E2">
            <wp:extent cx="5731510" cy="4210050"/>
            <wp:effectExtent l="0" t="0" r="0" b="0"/>
            <wp:docPr id="1669204161" name="Picture 1" descr="A black background with white rectangles and re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204161" name="Picture 1" descr="A black background with white rectangles and red dots&#10;&#10;AI-generated content may be incorrect."/>
                    <pic:cNvPicPr/>
                  </pic:nvPicPr>
                  <pic:blipFill>
                    <a:blip r:embed="rId9"/>
                    <a:stretch>
                      <a:fillRect/>
                    </a:stretch>
                  </pic:blipFill>
                  <pic:spPr>
                    <a:xfrm>
                      <a:off x="0" y="0"/>
                      <a:ext cx="5731510" cy="4210050"/>
                    </a:xfrm>
                    <a:prstGeom prst="rect">
                      <a:avLst/>
                    </a:prstGeom>
                  </pic:spPr>
                </pic:pic>
              </a:graphicData>
            </a:graphic>
          </wp:inline>
        </w:drawing>
      </w:r>
    </w:p>
    <w:p w14:paraId="2DC605FE" w14:textId="74C29BAE" w:rsidR="009C1C5D" w:rsidRDefault="009C1C5D" w:rsidP="009C1C5D">
      <w:pPr>
        <w:rPr>
          <w:b/>
          <w:bCs/>
        </w:rPr>
      </w:pPr>
    </w:p>
    <w:p w14:paraId="0B4F0AAF" w14:textId="39C28DC8" w:rsidR="0072073A" w:rsidRDefault="009C1C5D" w:rsidP="0072073A">
      <w:pPr>
        <w:jc w:val="both"/>
      </w:pPr>
      <w:r w:rsidRPr="000F4F38">
        <w:rPr>
          <w:rFonts w:eastAsia="+mn-ea" w:cstheme="minorHAnsi"/>
          <w:b/>
          <w:bCs/>
          <w:color w:val="000000" w:themeColor="text1"/>
          <w:kern w:val="24"/>
        </w:rPr>
        <w:t>Supplementary</w:t>
      </w:r>
      <w:r w:rsidRPr="000F4F38">
        <w:rPr>
          <w:b/>
          <w:bCs/>
          <w:color w:val="000000" w:themeColor="text1"/>
        </w:rPr>
        <w:t xml:space="preserve"> Fig. </w:t>
      </w:r>
      <w:r w:rsidRPr="00F6376B">
        <w:rPr>
          <w:b/>
          <w:bCs/>
          <w:color w:val="000000" w:themeColor="text1"/>
        </w:rPr>
        <w:t>4</w:t>
      </w:r>
      <w:r w:rsidR="00D57BCC">
        <w:rPr>
          <w:b/>
          <w:bCs/>
          <w:i/>
          <w:iCs/>
          <w:color w:val="000000" w:themeColor="text1"/>
        </w:rPr>
        <w:t xml:space="preserve">. </w:t>
      </w:r>
      <w:r w:rsidR="0072073A" w:rsidRPr="009F6ABC">
        <w:rPr>
          <w:b/>
          <w:bCs/>
        </w:rPr>
        <w:t>(</w:t>
      </w:r>
      <w:r w:rsidR="0072073A">
        <w:rPr>
          <w:b/>
          <w:bCs/>
        </w:rPr>
        <w:t>A</w:t>
      </w:r>
      <w:r w:rsidR="0072073A" w:rsidRPr="009F6ABC">
        <w:rPr>
          <w:b/>
          <w:bCs/>
        </w:rPr>
        <w:t>)</w:t>
      </w:r>
      <w:r w:rsidR="0072073A">
        <w:t xml:space="preserve"> Total NAD </w:t>
      </w:r>
      <w:r w:rsidR="0072073A" w:rsidRPr="009F6ABC">
        <w:rPr>
          <w:b/>
          <w:bCs/>
        </w:rPr>
        <w:t>(</w:t>
      </w:r>
      <w:r w:rsidR="0072073A">
        <w:rPr>
          <w:b/>
          <w:bCs/>
        </w:rPr>
        <w:t>B</w:t>
      </w:r>
      <w:r w:rsidR="0072073A" w:rsidRPr="009F6ABC">
        <w:rPr>
          <w:b/>
          <w:bCs/>
        </w:rPr>
        <w:t>)</w:t>
      </w:r>
      <w:r w:rsidR="0072073A">
        <w:t xml:space="preserve"> Total NADH </w:t>
      </w:r>
      <w:r w:rsidR="0072073A" w:rsidRPr="009F6ABC">
        <w:rPr>
          <w:b/>
          <w:bCs/>
        </w:rPr>
        <w:t>(</w:t>
      </w:r>
      <w:r w:rsidR="0072073A">
        <w:rPr>
          <w:b/>
          <w:bCs/>
        </w:rPr>
        <w:t>C</w:t>
      </w:r>
      <w:r w:rsidR="0072073A" w:rsidRPr="009F6ABC">
        <w:rPr>
          <w:b/>
          <w:bCs/>
        </w:rPr>
        <w:t xml:space="preserve">) </w:t>
      </w:r>
      <w:r w:rsidR="0072073A">
        <w:t xml:space="preserve">NAD/NADH ratio </w:t>
      </w:r>
      <w:r w:rsidR="0072073A" w:rsidRPr="009F6ABC">
        <w:rPr>
          <w:b/>
          <w:bCs/>
        </w:rPr>
        <w:t>(</w:t>
      </w:r>
      <w:r w:rsidR="0072073A">
        <w:rPr>
          <w:b/>
          <w:bCs/>
        </w:rPr>
        <w:t>D</w:t>
      </w:r>
      <w:r w:rsidR="0072073A" w:rsidRPr="009F6ABC">
        <w:rPr>
          <w:b/>
          <w:bCs/>
        </w:rPr>
        <w:t>)</w:t>
      </w:r>
      <w:r w:rsidR="0072073A">
        <w:t xml:space="preserve"> </w:t>
      </w:r>
      <w:r w:rsidR="00D26683">
        <w:t>Histone H3 acetylation (ng/mg/protein)</w:t>
      </w:r>
      <w:r w:rsidR="0072073A">
        <w:t>,</w:t>
      </w:r>
      <w:r w:rsidR="0072073A" w:rsidRPr="00212B23">
        <w:t xml:space="preserve"> </w:t>
      </w:r>
      <w:r w:rsidR="0072073A" w:rsidRPr="00B90DDF">
        <w:rPr>
          <w:b/>
          <w:bCs/>
        </w:rPr>
        <w:t>(E)</w:t>
      </w:r>
      <w:r w:rsidR="0072073A">
        <w:t xml:space="preserve"> </w:t>
      </w:r>
      <w:r w:rsidR="00D26683">
        <w:t>Histone H3 acetylation (%)</w:t>
      </w:r>
      <w:r w:rsidR="0072073A">
        <w:t xml:space="preserve">, </w:t>
      </w:r>
      <w:r w:rsidR="00D26683">
        <w:t>in liver collected from</w:t>
      </w:r>
      <w:r w:rsidR="0072073A">
        <w:t xml:space="preserve"> </w:t>
      </w:r>
      <w:proofErr w:type="spellStart"/>
      <w:r w:rsidR="0072073A">
        <w:t>CAB</w:t>
      </w:r>
      <w:r w:rsidR="0072073A" w:rsidRPr="002F7906">
        <w:rPr>
          <w:vertAlign w:val="superscript"/>
        </w:rPr>
        <w:t>Saline</w:t>
      </w:r>
      <w:proofErr w:type="spellEnd"/>
      <w:r w:rsidR="0072073A">
        <w:t>, MLDS</w:t>
      </w:r>
      <w:r w:rsidR="0072073A" w:rsidRPr="002F7906">
        <w:rPr>
          <w:vertAlign w:val="superscript"/>
        </w:rPr>
        <w:t>Saline</w:t>
      </w:r>
      <w:r w:rsidR="0072073A">
        <w:t xml:space="preserve"> and MLDS</w:t>
      </w:r>
      <w:r w:rsidR="0072073A" w:rsidRPr="002F7906">
        <w:rPr>
          <w:vertAlign w:val="superscript"/>
        </w:rPr>
        <w:t>FK866</w:t>
      </w:r>
      <w:r w:rsidR="0072073A">
        <w:t xml:space="preserve"> mice. n = </w:t>
      </w:r>
      <w:r w:rsidR="00F6376B">
        <w:t>3/group</w:t>
      </w:r>
      <w:r w:rsidR="0072073A">
        <w:t xml:space="preserve">. Values in all graphs are represented as means ± SEM. </w:t>
      </w:r>
    </w:p>
    <w:p w14:paraId="793F5303" w14:textId="72598289" w:rsidR="009C1C5D" w:rsidRPr="009C1C5D" w:rsidRDefault="009C1C5D" w:rsidP="009C1C5D"/>
    <w:p w14:paraId="3EC94C03" w14:textId="77777777" w:rsidR="00A96D92" w:rsidRPr="00F8523B" w:rsidRDefault="00A457B8" w:rsidP="00A96D92">
      <w:pPr>
        <w:keepNext/>
        <w:spacing w:line="360" w:lineRule="auto"/>
      </w:pPr>
      <w:r w:rsidRPr="00F8523B">
        <w:rPr>
          <w:noProof/>
        </w:rPr>
        <w:lastRenderedPageBreak/>
        <w:drawing>
          <wp:inline distT="0" distB="0" distL="0" distR="0" wp14:anchorId="29AE1933" wp14:editId="5A931FB9">
            <wp:extent cx="2400300" cy="71631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6077" cy="7210269"/>
                    </a:xfrm>
                    <a:prstGeom prst="rect">
                      <a:avLst/>
                    </a:prstGeom>
                    <a:noFill/>
                  </pic:spPr>
                </pic:pic>
              </a:graphicData>
            </a:graphic>
          </wp:inline>
        </w:drawing>
      </w:r>
    </w:p>
    <w:p w14:paraId="7527FA92" w14:textId="66D25884" w:rsidR="00A457B8" w:rsidRPr="008B2AE1" w:rsidRDefault="000F4F38" w:rsidP="008B2AE1">
      <w:pPr>
        <w:pStyle w:val="Caption"/>
        <w:jc w:val="both"/>
        <w:rPr>
          <w:rFonts w:cstheme="minorHAnsi"/>
          <w:i w:val="0"/>
          <w:iCs w:val="0"/>
          <w:sz w:val="22"/>
          <w:szCs w:val="22"/>
        </w:rPr>
      </w:pPr>
      <w:r w:rsidRPr="000F4F38">
        <w:rPr>
          <w:rFonts w:eastAsia="+mn-ea" w:cstheme="minorHAnsi"/>
          <w:b/>
          <w:bCs/>
          <w:i w:val="0"/>
          <w:iCs w:val="0"/>
          <w:color w:val="000000" w:themeColor="text1"/>
          <w:kern w:val="24"/>
          <w:sz w:val="22"/>
          <w:szCs w:val="22"/>
        </w:rPr>
        <w:t>Supplementary</w:t>
      </w:r>
      <w:r w:rsidRPr="000F4F38">
        <w:rPr>
          <w:b/>
          <w:bCs/>
          <w:i w:val="0"/>
          <w:iCs w:val="0"/>
          <w:color w:val="000000" w:themeColor="text1"/>
          <w:sz w:val="22"/>
          <w:szCs w:val="22"/>
        </w:rPr>
        <w:t xml:space="preserve"> Fig. </w:t>
      </w:r>
      <w:r w:rsidR="00093849">
        <w:rPr>
          <w:b/>
          <w:bCs/>
          <w:i w:val="0"/>
          <w:iCs w:val="0"/>
          <w:color w:val="000000" w:themeColor="text1"/>
          <w:sz w:val="22"/>
          <w:szCs w:val="22"/>
        </w:rPr>
        <w:t>5</w:t>
      </w:r>
      <w:r w:rsidRPr="000F4F38">
        <w:rPr>
          <w:rFonts w:eastAsia="+mn-ea" w:cstheme="minorHAnsi"/>
          <w:b/>
          <w:bCs/>
          <w:i w:val="0"/>
          <w:iCs w:val="0"/>
          <w:color w:val="000000"/>
          <w:kern w:val="24"/>
          <w:sz w:val="22"/>
          <w:szCs w:val="22"/>
        </w:rPr>
        <w:t xml:space="preserve"> </w:t>
      </w:r>
      <w:r w:rsidR="00A96D92" w:rsidRPr="008B2AE1">
        <w:rPr>
          <w:rFonts w:eastAsia="+mn-ea" w:cstheme="minorHAnsi"/>
          <w:b/>
          <w:bCs/>
          <w:i w:val="0"/>
          <w:iCs w:val="0"/>
          <w:color w:val="000000"/>
          <w:kern w:val="24"/>
          <w:sz w:val="22"/>
          <w:szCs w:val="22"/>
        </w:rPr>
        <w:t xml:space="preserve">Exemplary gating strategies for live isolated mouse pancreatic islet cells. </w:t>
      </w:r>
      <w:r w:rsidR="00A96D92" w:rsidRPr="00B10AE3">
        <w:rPr>
          <w:rFonts w:eastAsia="+mn-ea" w:cstheme="minorHAnsi"/>
          <w:b/>
          <w:bCs/>
          <w:i w:val="0"/>
          <w:iCs w:val="0"/>
          <w:color w:val="auto"/>
          <w:kern w:val="24"/>
          <w:sz w:val="22"/>
          <w:szCs w:val="22"/>
        </w:rPr>
        <w:t xml:space="preserve">Related to Figure 3, Figure 4, Figure 5 and </w:t>
      </w:r>
      <w:r w:rsidR="00B10AE3" w:rsidRPr="00B10AE3">
        <w:rPr>
          <w:rFonts w:eastAsia="+mn-ea" w:cstheme="minorHAnsi"/>
          <w:b/>
          <w:bCs/>
          <w:i w:val="0"/>
          <w:iCs w:val="0"/>
          <w:color w:val="auto"/>
          <w:kern w:val="24"/>
          <w:sz w:val="22"/>
          <w:szCs w:val="22"/>
        </w:rPr>
        <w:t>S10</w:t>
      </w:r>
      <w:r w:rsidR="00A96D92" w:rsidRPr="008B2AE1">
        <w:rPr>
          <w:rFonts w:cstheme="minorHAnsi"/>
          <w:i w:val="0"/>
          <w:iCs w:val="0"/>
          <w:sz w:val="22"/>
          <w:szCs w:val="22"/>
        </w:rPr>
        <w:t>.</w:t>
      </w:r>
      <w:r w:rsidR="00AD4360" w:rsidRPr="008B2AE1">
        <w:rPr>
          <w:rFonts w:cstheme="minorHAnsi"/>
          <w:i w:val="0"/>
          <w:iCs w:val="0"/>
          <w:sz w:val="22"/>
          <w:szCs w:val="22"/>
        </w:rPr>
        <w:t xml:space="preserve"> </w:t>
      </w:r>
      <w:r w:rsidR="00A96D92" w:rsidRPr="008B2AE1">
        <w:rPr>
          <w:rFonts w:eastAsia="+mn-ea" w:cstheme="minorHAnsi"/>
          <w:i w:val="0"/>
          <w:iCs w:val="0"/>
          <w:color w:val="000000"/>
          <w:kern w:val="24"/>
          <w:sz w:val="22"/>
          <w:szCs w:val="22"/>
        </w:rPr>
        <w:t>Black polygons and gates are representative of (A) islet cell population, (B) islet single cell population (C) live cell population</w:t>
      </w:r>
    </w:p>
    <w:p w14:paraId="1DF4FB01" w14:textId="77777777" w:rsidR="00A96D92" w:rsidRPr="00F8523B" w:rsidRDefault="00A457B8" w:rsidP="00A96D92">
      <w:pPr>
        <w:keepNext/>
        <w:spacing w:line="360" w:lineRule="auto"/>
      </w:pPr>
      <w:r w:rsidRPr="00F8523B">
        <w:rPr>
          <w:noProof/>
        </w:rPr>
        <w:lastRenderedPageBreak/>
        <w:drawing>
          <wp:inline distT="0" distB="0" distL="0" distR="0" wp14:anchorId="363F8B92" wp14:editId="4FEC3CCC">
            <wp:extent cx="5765132" cy="5760000"/>
            <wp:effectExtent l="0" t="0" r="762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132" cy="5760000"/>
                    </a:xfrm>
                    <a:prstGeom prst="rect">
                      <a:avLst/>
                    </a:prstGeom>
                    <a:noFill/>
                  </pic:spPr>
                </pic:pic>
              </a:graphicData>
            </a:graphic>
          </wp:inline>
        </w:drawing>
      </w:r>
    </w:p>
    <w:p w14:paraId="39BAB45C" w14:textId="27568206" w:rsidR="00A457B8" w:rsidRPr="00C9464F" w:rsidRDefault="000F4F38" w:rsidP="00A96D92">
      <w:pPr>
        <w:pStyle w:val="Caption"/>
        <w:rPr>
          <w:rFonts w:eastAsia="+mn-ea" w:cstheme="minorHAnsi"/>
          <w:i w:val="0"/>
          <w:iCs w:val="0"/>
          <w:color w:val="000000"/>
          <w:kern w:val="24"/>
          <w:sz w:val="22"/>
          <w:szCs w:val="22"/>
        </w:rPr>
      </w:pPr>
      <w:r w:rsidRPr="00C9464F">
        <w:rPr>
          <w:rFonts w:eastAsia="+mn-ea" w:cstheme="minorHAnsi"/>
          <w:b/>
          <w:bCs/>
          <w:i w:val="0"/>
          <w:iCs w:val="0"/>
          <w:color w:val="000000" w:themeColor="text1"/>
          <w:kern w:val="24"/>
          <w:sz w:val="22"/>
          <w:szCs w:val="22"/>
        </w:rPr>
        <w:t>Supplementary</w:t>
      </w:r>
      <w:r w:rsidRPr="00C9464F">
        <w:rPr>
          <w:rFonts w:cstheme="minorHAnsi"/>
          <w:b/>
          <w:bCs/>
          <w:i w:val="0"/>
          <w:iCs w:val="0"/>
          <w:color w:val="000000" w:themeColor="text1"/>
          <w:sz w:val="22"/>
          <w:szCs w:val="22"/>
        </w:rPr>
        <w:t xml:space="preserve"> Fig. </w:t>
      </w:r>
      <w:r w:rsidR="00093849" w:rsidRPr="00C9464F">
        <w:rPr>
          <w:rFonts w:cstheme="minorHAnsi"/>
          <w:b/>
          <w:bCs/>
          <w:i w:val="0"/>
          <w:iCs w:val="0"/>
          <w:color w:val="000000" w:themeColor="text1"/>
          <w:sz w:val="22"/>
          <w:szCs w:val="22"/>
        </w:rPr>
        <w:t>6</w:t>
      </w:r>
      <w:r w:rsidR="00A96D92" w:rsidRPr="00C9464F">
        <w:rPr>
          <w:rFonts w:eastAsia="+mn-ea" w:cstheme="minorHAnsi"/>
          <w:b/>
          <w:bCs/>
          <w:i w:val="0"/>
          <w:iCs w:val="0"/>
          <w:color w:val="000000"/>
          <w:kern w:val="24"/>
          <w:sz w:val="22"/>
          <w:szCs w:val="22"/>
        </w:rPr>
        <w:t>. Exemplary gating strategies for detecting granularity of isolated mouse pancreatic islet cells. Related to Figure 3.</w:t>
      </w:r>
      <w:r w:rsidR="00AD4360" w:rsidRPr="00C9464F">
        <w:rPr>
          <w:rFonts w:cstheme="minorHAnsi"/>
          <w:i w:val="0"/>
          <w:iCs w:val="0"/>
          <w:sz w:val="22"/>
          <w:szCs w:val="22"/>
        </w:rPr>
        <w:t xml:space="preserve"> </w:t>
      </w:r>
      <w:r w:rsidR="00A96D92" w:rsidRPr="00C9464F">
        <w:rPr>
          <w:rFonts w:eastAsia="+mn-ea" w:cstheme="minorHAnsi"/>
          <w:i w:val="0"/>
          <w:iCs w:val="0"/>
          <w:color w:val="000000"/>
          <w:kern w:val="24"/>
          <w:sz w:val="22"/>
          <w:szCs w:val="22"/>
        </w:rPr>
        <w:t>Black polygons and gates are representative of (A) High and low Insulin + cells (B) Granulated and degranulated Insulin+ cells from non-diabetic control example. (C)  Granulated and degranulated Insulin+ cells from diabetic control example. Green histograms represent non-diabetic control example. Pink histograms represent diabetic control example.</w:t>
      </w:r>
    </w:p>
    <w:p w14:paraId="47A5550C" w14:textId="7B842281" w:rsidR="00A457B8" w:rsidRPr="00F8523B" w:rsidRDefault="00A457B8" w:rsidP="00A457B8">
      <w:pPr>
        <w:spacing w:line="360" w:lineRule="auto"/>
      </w:pPr>
    </w:p>
    <w:p w14:paraId="01E4D5F3" w14:textId="77777777" w:rsidR="00A457B8" w:rsidRPr="00F8523B" w:rsidRDefault="00A457B8" w:rsidP="00A457B8">
      <w:pPr>
        <w:spacing w:line="360" w:lineRule="auto"/>
      </w:pPr>
    </w:p>
    <w:p w14:paraId="1FEC4BD6" w14:textId="77777777" w:rsidR="00A457B8" w:rsidRPr="00F8523B" w:rsidRDefault="00A457B8" w:rsidP="00A457B8">
      <w:pPr>
        <w:spacing w:line="360" w:lineRule="auto"/>
      </w:pPr>
    </w:p>
    <w:p w14:paraId="4DEEE097" w14:textId="77777777" w:rsidR="00587BC3" w:rsidRPr="00F8523B" w:rsidRDefault="00A457B8" w:rsidP="00587BC3">
      <w:pPr>
        <w:keepNext/>
        <w:spacing w:line="360" w:lineRule="auto"/>
      </w:pPr>
      <w:r w:rsidRPr="00F8523B">
        <w:rPr>
          <w:noProof/>
        </w:rPr>
        <w:lastRenderedPageBreak/>
        <w:drawing>
          <wp:inline distT="0" distB="0" distL="0" distR="0" wp14:anchorId="19297C09" wp14:editId="3E90BA14">
            <wp:extent cx="5710857" cy="57600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857" cy="5760000"/>
                    </a:xfrm>
                    <a:prstGeom prst="rect">
                      <a:avLst/>
                    </a:prstGeom>
                    <a:noFill/>
                  </pic:spPr>
                </pic:pic>
              </a:graphicData>
            </a:graphic>
          </wp:inline>
        </w:drawing>
      </w:r>
    </w:p>
    <w:p w14:paraId="253FD3AD" w14:textId="370B13A8" w:rsidR="00587BC3" w:rsidRPr="00C9464F" w:rsidRDefault="000F4F38" w:rsidP="00587BC3">
      <w:pPr>
        <w:pStyle w:val="Caption"/>
        <w:rPr>
          <w:rFonts w:cstheme="minorHAnsi"/>
          <w:b/>
          <w:i w:val="0"/>
          <w:iCs w:val="0"/>
          <w:sz w:val="22"/>
          <w:szCs w:val="22"/>
        </w:rPr>
      </w:pPr>
      <w:r w:rsidRPr="00C9464F">
        <w:rPr>
          <w:rFonts w:eastAsia="+mn-ea" w:cstheme="minorHAnsi"/>
          <w:b/>
          <w:bCs/>
          <w:i w:val="0"/>
          <w:iCs w:val="0"/>
          <w:color w:val="000000" w:themeColor="text1"/>
          <w:kern w:val="24"/>
          <w:sz w:val="22"/>
          <w:szCs w:val="22"/>
        </w:rPr>
        <w:t>Supplementary</w:t>
      </w:r>
      <w:r w:rsidRPr="00C9464F">
        <w:rPr>
          <w:rFonts w:cstheme="minorHAnsi"/>
          <w:b/>
          <w:bCs/>
          <w:i w:val="0"/>
          <w:iCs w:val="0"/>
          <w:color w:val="000000" w:themeColor="text1"/>
          <w:sz w:val="22"/>
          <w:szCs w:val="22"/>
        </w:rPr>
        <w:t xml:space="preserve"> Fig. </w:t>
      </w:r>
      <w:r w:rsidR="00093849" w:rsidRPr="00C9464F">
        <w:rPr>
          <w:rFonts w:cstheme="minorHAnsi"/>
          <w:b/>
          <w:bCs/>
          <w:i w:val="0"/>
          <w:iCs w:val="0"/>
          <w:color w:val="000000" w:themeColor="text1"/>
          <w:sz w:val="22"/>
          <w:szCs w:val="22"/>
        </w:rPr>
        <w:t>7</w:t>
      </w:r>
      <w:r w:rsidRPr="00C9464F">
        <w:rPr>
          <w:rFonts w:cstheme="minorHAnsi"/>
          <w:b/>
          <w:bCs/>
          <w:i w:val="0"/>
          <w:iCs w:val="0"/>
          <w:color w:val="000000" w:themeColor="text1"/>
          <w:sz w:val="22"/>
          <w:szCs w:val="22"/>
        </w:rPr>
        <w:t xml:space="preserve"> </w:t>
      </w:r>
      <w:r w:rsidR="00587BC3" w:rsidRPr="00C9464F">
        <w:rPr>
          <w:rFonts w:eastAsia="+mn-ea" w:cstheme="minorHAnsi"/>
          <w:b/>
          <w:bCs/>
          <w:i w:val="0"/>
          <w:iCs w:val="0"/>
          <w:color w:val="000000"/>
          <w:kern w:val="24"/>
          <w:sz w:val="22"/>
          <w:szCs w:val="22"/>
        </w:rPr>
        <w:t>Gating strategies for isolated mouse pancreatic islet cell immunofluoresce</w:t>
      </w:r>
      <w:r w:rsidR="00FD0DD0" w:rsidRPr="00C9464F">
        <w:rPr>
          <w:rFonts w:eastAsia="+mn-ea" w:cstheme="minorHAnsi"/>
          <w:b/>
          <w:bCs/>
          <w:i w:val="0"/>
          <w:iCs w:val="0"/>
          <w:color w:val="000000"/>
          <w:kern w:val="24"/>
          <w:sz w:val="22"/>
          <w:szCs w:val="22"/>
        </w:rPr>
        <w:t>nt</w:t>
      </w:r>
      <w:r w:rsidR="00587BC3" w:rsidRPr="00C9464F">
        <w:rPr>
          <w:rFonts w:eastAsia="+mn-ea" w:cstheme="minorHAnsi"/>
          <w:b/>
          <w:bCs/>
          <w:i w:val="0"/>
          <w:iCs w:val="0"/>
          <w:color w:val="000000"/>
          <w:kern w:val="24"/>
          <w:sz w:val="22"/>
          <w:szCs w:val="22"/>
        </w:rPr>
        <w:t xml:space="preserve"> staining with immune cell markers.</w:t>
      </w:r>
      <w:r w:rsidR="00AD4360" w:rsidRPr="00C9464F">
        <w:rPr>
          <w:rFonts w:eastAsia="+mn-ea" w:cstheme="minorHAnsi"/>
          <w:b/>
          <w:bCs/>
          <w:i w:val="0"/>
          <w:iCs w:val="0"/>
          <w:color w:val="000000"/>
          <w:kern w:val="24"/>
          <w:sz w:val="22"/>
          <w:szCs w:val="22"/>
        </w:rPr>
        <w:t xml:space="preserve"> Related to Figure 4. </w:t>
      </w:r>
      <w:r w:rsidR="00587BC3" w:rsidRPr="00C9464F">
        <w:rPr>
          <w:rFonts w:eastAsia="+mn-ea" w:cstheme="minorHAnsi"/>
          <w:i w:val="0"/>
          <w:iCs w:val="0"/>
          <w:color w:val="000000"/>
          <w:kern w:val="24"/>
          <w:sz w:val="22"/>
          <w:szCs w:val="22"/>
        </w:rPr>
        <w:t xml:space="preserve">Black polygons and gates are representative of (A) CD4+ (B) CD8+ (C)F4/80+. Red histograms represented unstained cells. Blue histograms represent stained example population. </w:t>
      </w:r>
    </w:p>
    <w:p w14:paraId="172CB5F6" w14:textId="1CA8617A" w:rsidR="00A457B8" w:rsidRPr="00F8523B" w:rsidRDefault="00A457B8" w:rsidP="00587BC3">
      <w:pPr>
        <w:pStyle w:val="Caption"/>
        <w:rPr>
          <w:i w:val="0"/>
          <w:iCs w:val="0"/>
        </w:rPr>
      </w:pPr>
    </w:p>
    <w:p w14:paraId="1B3FCA34" w14:textId="758C6B7D" w:rsidR="00A457B8" w:rsidRPr="00F8523B" w:rsidRDefault="00A457B8" w:rsidP="00A457B8">
      <w:pPr>
        <w:spacing w:line="360" w:lineRule="auto"/>
      </w:pPr>
    </w:p>
    <w:p w14:paraId="37DB4536" w14:textId="061CF6B9" w:rsidR="00A457B8" w:rsidRPr="00F8523B" w:rsidRDefault="00A457B8" w:rsidP="00AD4360">
      <w:pPr>
        <w:spacing w:line="360" w:lineRule="auto"/>
      </w:pPr>
    </w:p>
    <w:p w14:paraId="7598566A" w14:textId="2031D660" w:rsidR="00587BC3" w:rsidRPr="00F8523B" w:rsidRDefault="00587BC3" w:rsidP="00587BC3">
      <w:pPr>
        <w:keepNext/>
        <w:spacing w:line="360" w:lineRule="auto"/>
      </w:pPr>
    </w:p>
    <w:p w14:paraId="7729EDE8" w14:textId="77777777" w:rsidR="00E90C47" w:rsidRDefault="00E90C47" w:rsidP="00587BC3">
      <w:pPr>
        <w:pStyle w:val="Caption"/>
        <w:rPr>
          <w:rFonts w:eastAsia="+mn-ea" w:cstheme="minorHAnsi"/>
          <w:b/>
          <w:bCs/>
          <w:i w:val="0"/>
          <w:iCs w:val="0"/>
          <w:color w:val="000000" w:themeColor="text1"/>
          <w:kern w:val="24"/>
          <w:sz w:val="22"/>
          <w:szCs w:val="22"/>
        </w:rPr>
      </w:pPr>
      <w:bookmarkStart w:id="1" w:name="_Hlk112160657"/>
    </w:p>
    <w:p w14:paraId="65BE3A86" w14:textId="77777777" w:rsidR="00E90C47" w:rsidRDefault="00E90C47" w:rsidP="00587BC3">
      <w:pPr>
        <w:pStyle w:val="Caption"/>
        <w:rPr>
          <w:rFonts w:eastAsia="+mn-ea" w:cstheme="minorHAnsi"/>
          <w:b/>
          <w:bCs/>
          <w:i w:val="0"/>
          <w:iCs w:val="0"/>
          <w:color w:val="000000" w:themeColor="text1"/>
          <w:kern w:val="24"/>
          <w:sz w:val="22"/>
          <w:szCs w:val="22"/>
        </w:rPr>
      </w:pPr>
    </w:p>
    <w:p w14:paraId="75BABBE7" w14:textId="77777777" w:rsidR="00E90C47" w:rsidRDefault="00E90C47" w:rsidP="00587BC3">
      <w:pPr>
        <w:pStyle w:val="Caption"/>
        <w:rPr>
          <w:rFonts w:eastAsia="+mn-ea" w:cstheme="minorHAnsi"/>
          <w:b/>
          <w:bCs/>
          <w:i w:val="0"/>
          <w:iCs w:val="0"/>
          <w:color w:val="000000" w:themeColor="text1"/>
          <w:kern w:val="24"/>
          <w:sz w:val="22"/>
          <w:szCs w:val="22"/>
        </w:rPr>
      </w:pPr>
    </w:p>
    <w:p w14:paraId="5D978EC5" w14:textId="2E987C90" w:rsidR="00E90C47" w:rsidRPr="00E90C47" w:rsidRDefault="00E90C47" w:rsidP="00E90C47"/>
    <w:p w14:paraId="2BF7A89B" w14:textId="73AD8BC2" w:rsidR="00D960EC" w:rsidRDefault="00313019" w:rsidP="00587BC3">
      <w:pPr>
        <w:pStyle w:val="Caption"/>
        <w:rPr>
          <w:rFonts w:eastAsia="+mn-ea" w:cstheme="minorHAnsi"/>
          <w:b/>
          <w:bCs/>
          <w:i w:val="0"/>
          <w:iCs w:val="0"/>
          <w:color w:val="000000" w:themeColor="text1"/>
          <w:kern w:val="24"/>
          <w:sz w:val="22"/>
          <w:szCs w:val="22"/>
        </w:rPr>
      </w:pPr>
      <w:r>
        <w:rPr>
          <w:rFonts w:eastAsia="+mn-ea" w:cstheme="minorHAnsi"/>
          <w:b/>
          <w:bCs/>
          <w:i w:val="0"/>
          <w:iCs w:val="0"/>
          <w:noProof/>
          <w:color w:val="000000" w:themeColor="text1"/>
          <w:kern w:val="24"/>
          <w:sz w:val="22"/>
          <w:szCs w:val="22"/>
        </w:rPr>
        <w:drawing>
          <wp:inline distT="0" distB="0" distL="0" distR="0" wp14:anchorId="28791BF6" wp14:editId="3FB0001A">
            <wp:extent cx="5726339" cy="3767328"/>
            <wp:effectExtent l="0" t="0" r="8255" b="5080"/>
            <wp:docPr id="14227323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456" cy="3768063"/>
                    </a:xfrm>
                    <a:prstGeom prst="rect">
                      <a:avLst/>
                    </a:prstGeom>
                    <a:noFill/>
                  </pic:spPr>
                </pic:pic>
              </a:graphicData>
            </a:graphic>
          </wp:inline>
        </w:drawing>
      </w:r>
    </w:p>
    <w:p w14:paraId="213ACD3F" w14:textId="2B3FDC5B" w:rsidR="00587BC3" w:rsidRPr="00F8523B" w:rsidRDefault="000F4F38" w:rsidP="00587BC3">
      <w:pPr>
        <w:pStyle w:val="Caption"/>
        <w:rPr>
          <w:b/>
          <w:i w:val="0"/>
          <w:iCs w:val="0"/>
        </w:rPr>
      </w:pPr>
      <w:r w:rsidRPr="000F4F38">
        <w:rPr>
          <w:rFonts w:eastAsia="+mn-ea" w:cstheme="minorHAnsi"/>
          <w:b/>
          <w:bCs/>
          <w:i w:val="0"/>
          <w:iCs w:val="0"/>
          <w:color w:val="000000" w:themeColor="text1"/>
          <w:kern w:val="24"/>
          <w:sz w:val="22"/>
          <w:szCs w:val="22"/>
        </w:rPr>
        <w:t>Supplementary</w:t>
      </w:r>
      <w:r w:rsidRPr="000F4F38">
        <w:rPr>
          <w:b/>
          <w:bCs/>
          <w:i w:val="0"/>
          <w:iCs w:val="0"/>
          <w:color w:val="000000" w:themeColor="text1"/>
          <w:sz w:val="22"/>
          <w:szCs w:val="22"/>
        </w:rPr>
        <w:t xml:space="preserve"> Fig. </w:t>
      </w:r>
      <w:r w:rsidR="00093849">
        <w:rPr>
          <w:b/>
          <w:bCs/>
          <w:i w:val="0"/>
          <w:iCs w:val="0"/>
          <w:color w:val="000000" w:themeColor="text1"/>
          <w:sz w:val="22"/>
          <w:szCs w:val="22"/>
        </w:rPr>
        <w:t>8</w:t>
      </w:r>
      <w:r>
        <w:rPr>
          <w:b/>
          <w:bCs/>
          <w:i w:val="0"/>
          <w:iCs w:val="0"/>
          <w:color w:val="000000" w:themeColor="text1"/>
          <w:sz w:val="22"/>
          <w:szCs w:val="22"/>
        </w:rPr>
        <w:t xml:space="preserve">. </w:t>
      </w:r>
      <w:r w:rsidR="00587BC3" w:rsidRPr="00F8523B">
        <w:rPr>
          <w:rFonts w:asciiTheme="minorBidi" w:eastAsia="+mn-ea" w:hAnsiTheme="minorBidi"/>
          <w:b/>
          <w:bCs/>
          <w:i w:val="0"/>
          <w:iCs w:val="0"/>
          <w:color w:val="000000"/>
          <w:kern w:val="24"/>
        </w:rPr>
        <w:t>Gating strategies for isolated mouse pancreatic islet cell immunofluorescen</w:t>
      </w:r>
      <w:r w:rsidR="00FD0DD0">
        <w:rPr>
          <w:rFonts w:asciiTheme="minorBidi" w:eastAsia="+mn-ea" w:hAnsiTheme="minorBidi"/>
          <w:b/>
          <w:bCs/>
          <w:i w:val="0"/>
          <w:iCs w:val="0"/>
          <w:color w:val="000000"/>
          <w:kern w:val="24"/>
        </w:rPr>
        <w:t>t</w:t>
      </w:r>
      <w:r w:rsidR="00587BC3" w:rsidRPr="00F8523B">
        <w:rPr>
          <w:rFonts w:asciiTheme="minorBidi" w:eastAsia="+mn-ea" w:hAnsiTheme="minorBidi"/>
          <w:b/>
          <w:bCs/>
          <w:i w:val="0"/>
          <w:iCs w:val="0"/>
          <w:color w:val="000000"/>
          <w:kern w:val="24"/>
        </w:rPr>
        <w:t xml:space="preserve"> staining with inflammatory markers</w:t>
      </w:r>
      <w:r w:rsidR="00AD4360" w:rsidRPr="00F8523B">
        <w:rPr>
          <w:rFonts w:asciiTheme="minorBidi" w:eastAsia="+mn-ea" w:hAnsiTheme="minorBidi"/>
          <w:b/>
          <w:bCs/>
          <w:i w:val="0"/>
          <w:iCs w:val="0"/>
          <w:color w:val="000000"/>
          <w:kern w:val="24"/>
        </w:rPr>
        <w:t xml:space="preserve">. </w:t>
      </w:r>
      <w:r w:rsidR="00AD4360" w:rsidRPr="00313019">
        <w:rPr>
          <w:rFonts w:asciiTheme="minorBidi" w:eastAsia="+mn-ea" w:hAnsiTheme="minorBidi"/>
          <w:b/>
          <w:bCs/>
          <w:i w:val="0"/>
          <w:iCs w:val="0"/>
          <w:color w:val="000000"/>
          <w:kern w:val="24"/>
        </w:rPr>
        <w:t xml:space="preserve">Related to Figure </w:t>
      </w:r>
      <w:r w:rsidR="00B03AAF" w:rsidRPr="00313019">
        <w:rPr>
          <w:rFonts w:asciiTheme="minorBidi" w:eastAsia="+mn-ea" w:hAnsiTheme="minorBidi"/>
          <w:b/>
          <w:bCs/>
          <w:i w:val="0"/>
          <w:iCs w:val="0"/>
          <w:color w:val="000000"/>
          <w:kern w:val="24"/>
        </w:rPr>
        <w:t>4 and S</w:t>
      </w:r>
      <w:r w:rsidR="00313019" w:rsidRPr="00313019">
        <w:rPr>
          <w:rFonts w:asciiTheme="minorBidi" w:eastAsia="+mn-ea" w:hAnsiTheme="minorBidi"/>
          <w:b/>
          <w:bCs/>
          <w:i w:val="0"/>
          <w:iCs w:val="0"/>
          <w:color w:val="000000"/>
          <w:kern w:val="24"/>
        </w:rPr>
        <w:t xml:space="preserve">upplementary Fig. </w:t>
      </w:r>
      <w:r w:rsidR="00B03AAF" w:rsidRPr="00313019">
        <w:rPr>
          <w:rFonts w:asciiTheme="minorBidi" w:eastAsia="+mn-ea" w:hAnsiTheme="minorBidi"/>
          <w:b/>
          <w:bCs/>
          <w:i w:val="0"/>
          <w:iCs w:val="0"/>
          <w:color w:val="000000"/>
          <w:kern w:val="24"/>
        </w:rPr>
        <w:t>10</w:t>
      </w:r>
      <w:r w:rsidR="00587BC3" w:rsidRPr="00313019">
        <w:rPr>
          <w:rFonts w:asciiTheme="minorBidi" w:eastAsia="+mn-ea" w:hAnsiTheme="minorBidi"/>
          <w:b/>
          <w:bCs/>
          <w:i w:val="0"/>
          <w:iCs w:val="0"/>
          <w:color w:val="000000"/>
          <w:kern w:val="24"/>
        </w:rPr>
        <w:t>.</w:t>
      </w:r>
      <w:r w:rsidR="00587BC3" w:rsidRPr="00313019">
        <w:rPr>
          <w:rFonts w:ascii="Arial" w:hAnsi="Arial" w:cs="Arial"/>
          <w:i w:val="0"/>
          <w:iCs w:val="0"/>
          <w:szCs w:val="20"/>
        </w:rPr>
        <w:t xml:space="preserve"> </w:t>
      </w:r>
      <w:r w:rsidR="00587BC3" w:rsidRPr="00313019">
        <w:rPr>
          <w:rFonts w:asciiTheme="minorBidi" w:eastAsia="+mn-ea" w:hAnsiTheme="minorBidi"/>
          <w:i w:val="0"/>
          <w:iCs w:val="0"/>
          <w:color w:val="000000"/>
          <w:kern w:val="24"/>
        </w:rPr>
        <w:t>Black polygons and gates are representative of (A) TNFα+ (B) TNFα+ CD4+ (C) TNFα+ F4/80+ (</w:t>
      </w:r>
      <w:r w:rsidR="00313019" w:rsidRPr="00313019">
        <w:rPr>
          <w:rFonts w:asciiTheme="minorBidi" w:eastAsia="+mn-ea" w:hAnsiTheme="minorBidi"/>
          <w:i w:val="0"/>
          <w:iCs w:val="0"/>
          <w:color w:val="000000"/>
          <w:kern w:val="24"/>
        </w:rPr>
        <w:t>D</w:t>
      </w:r>
      <w:r w:rsidR="00587BC3" w:rsidRPr="00313019">
        <w:rPr>
          <w:rFonts w:asciiTheme="minorBidi" w:eastAsia="+mn-ea" w:hAnsiTheme="minorBidi"/>
          <w:i w:val="0"/>
          <w:iCs w:val="0"/>
          <w:color w:val="000000"/>
          <w:kern w:val="24"/>
        </w:rPr>
        <w:t>) IFNγ+ (</w:t>
      </w:r>
      <w:r w:rsidR="00313019" w:rsidRPr="00313019">
        <w:rPr>
          <w:rFonts w:asciiTheme="minorBidi" w:eastAsia="+mn-ea" w:hAnsiTheme="minorBidi"/>
          <w:i w:val="0"/>
          <w:iCs w:val="0"/>
          <w:color w:val="000000"/>
          <w:kern w:val="24"/>
        </w:rPr>
        <w:t>E</w:t>
      </w:r>
      <w:r w:rsidR="00587BC3" w:rsidRPr="00313019">
        <w:rPr>
          <w:rFonts w:asciiTheme="minorBidi" w:eastAsia="+mn-ea" w:hAnsiTheme="minorBidi"/>
          <w:i w:val="0"/>
          <w:iCs w:val="0"/>
          <w:color w:val="000000"/>
          <w:kern w:val="24"/>
        </w:rPr>
        <w:t>) IFNγ+ CD4+ (</w:t>
      </w:r>
      <w:r w:rsidR="00313019" w:rsidRPr="00313019">
        <w:rPr>
          <w:rFonts w:asciiTheme="minorBidi" w:eastAsia="+mn-ea" w:hAnsiTheme="minorBidi"/>
          <w:i w:val="0"/>
          <w:iCs w:val="0"/>
          <w:color w:val="000000"/>
          <w:kern w:val="24"/>
        </w:rPr>
        <w:t>F</w:t>
      </w:r>
      <w:r w:rsidR="00587BC3" w:rsidRPr="00313019">
        <w:rPr>
          <w:rFonts w:asciiTheme="minorBidi" w:eastAsia="+mn-ea" w:hAnsiTheme="minorBidi"/>
          <w:i w:val="0"/>
          <w:iCs w:val="0"/>
          <w:color w:val="000000"/>
          <w:kern w:val="24"/>
        </w:rPr>
        <w:t>) IFNγ+ F4/80+. Red histograms represented unstained cells. Blue histograms represent stained example population.</w:t>
      </w:r>
      <w:r w:rsidR="00587BC3" w:rsidRPr="00F8523B">
        <w:rPr>
          <w:i w:val="0"/>
          <w:iCs w:val="0"/>
        </w:rPr>
        <w:t xml:space="preserve"> </w:t>
      </w:r>
    </w:p>
    <w:bookmarkEnd w:id="1"/>
    <w:p w14:paraId="48D31448" w14:textId="77777777" w:rsidR="00841309" w:rsidRPr="00F8523B" w:rsidRDefault="00841309" w:rsidP="00841309">
      <w:pPr>
        <w:keepNext/>
      </w:pPr>
      <w:r w:rsidRPr="00F8523B">
        <w:rPr>
          <w:noProof/>
        </w:rPr>
        <w:lastRenderedPageBreak/>
        <w:drawing>
          <wp:inline distT="0" distB="0" distL="0" distR="0" wp14:anchorId="56FE081C" wp14:editId="4303F3A2">
            <wp:extent cx="2619367" cy="8118764"/>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9023" cy="8148694"/>
                    </a:xfrm>
                    <a:prstGeom prst="rect">
                      <a:avLst/>
                    </a:prstGeom>
                    <a:noFill/>
                  </pic:spPr>
                </pic:pic>
              </a:graphicData>
            </a:graphic>
          </wp:inline>
        </w:drawing>
      </w:r>
    </w:p>
    <w:p w14:paraId="70E17ADC" w14:textId="1BA46C55" w:rsidR="00841309" w:rsidRPr="00F8523B" w:rsidRDefault="000F4F38" w:rsidP="00841309">
      <w:pPr>
        <w:pStyle w:val="Caption"/>
        <w:rPr>
          <w:i w:val="0"/>
          <w:iCs w:val="0"/>
        </w:rPr>
      </w:pPr>
      <w:r w:rsidRPr="000F4F38">
        <w:rPr>
          <w:rFonts w:eastAsia="+mn-ea" w:cstheme="minorHAnsi"/>
          <w:b/>
          <w:bCs/>
          <w:i w:val="0"/>
          <w:iCs w:val="0"/>
          <w:color w:val="000000" w:themeColor="text1"/>
          <w:kern w:val="24"/>
          <w:sz w:val="22"/>
          <w:szCs w:val="22"/>
        </w:rPr>
        <w:t>Supplementary</w:t>
      </w:r>
      <w:r w:rsidRPr="000F4F38">
        <w:rPr>
          <w:b/>
          <w:bCs/>
          <w:i w:val="0"/>
          <w:iCs w:val="0"/>
          <w:color w:val="000000" w:themeColor="text1"/>
          <w:sz w:val="22"/>
          <w:szCs w:val="22"/>
        </w:rPr>
        <w:t xml:space="preserve"> Fig. </w:t>
      </w:r>
      <w:r w:rsidR="00093849">
        <w:rPr>
          <w:b/>
          <w:bCs/>
          <w:i w:val="0"/>
          <w:iCs w:val="0"/>
          <w:color w:val="000000" w:themeColor="text1"/>
          <w:sz w:val="22"/>
          <w:szCs w:val="22"/>
        </w:rPr>
        <w:t>9</w:t>
      </w:r>
      <w:r>
        <w:rPr>
          <w:b/>
          <w:bCs/>
          <w:i w:val="0"/>
          <w:iCs w:val="0"/>
          <w:color w:val="000000" w:themeColor="text1"/>
          <w:sz w:val="22"/>
          <w:szCs w:val="22"/>
        </w:rPr>
        <w:t xml:space="preserve">. </w:t>
      </w:r>
      <w:r w:rsidR="00841309" w:rsidRPr="00F8523B">
        <w:rPr>
          <w:rFonts w:asciiTheme="minorBidi" w:eastAsia="+mn-ea" w:hAnsiTheme="minorBidi"/>
          <w:b/>
          <w:bCs/>
          <w:i w:val="0"/>
          <w:iCs w:val="0"/>
          <w:color w:val="000000"/>
          <w:kern w:val="24"/>
        </w:rPr>
        <w:t xml:space="preserve">Exemplary gating strategies for live isolated mouse splenocytes. </w:t>
      </w:r>
      <w:r w:rsidR="00841309" w:rsidRPr="002D1090">
        <w:rPr>
          <w:rFonts w:asciiTheme="minorBidi" w:eastAsia="+mn-ea" w:hAnsiTheme="minorBidi"/>
          <w:b/>
          <w:bCs/>
          <w:i w:val="0"/>
          <w:iCs w:val="0"/>
          <w:color w:val="000000"/>
          <w:kern w:val="24"/>
        </w:rPr>
        <w:t xml:space="preserve">Related to Figure </w:t>
      </w:r>
      <w:r w:rsidR="002D1090">
        <w:rPr>
          <w:rFonts w:asciiTheme="minorBidi" w:eastAsia="+mn-ea" w:hAnsiTheme="minorBidi"/>
          <w:b/>
          <w:bCs/>
          <w:i w:val="0"/>
          <w:iCs w:val="0"/>
          <w:color w:val="000000"/>
          <w:kern w:val="24"/>
        </w:rPr>
        <w:t>5</w:t>
      </w:r>
      <w:r w:rsidR="00841309" w:rsidRPr="00F8523B">
        <w:rPr>
          <w:i w:val="0"/>
          <w:iCs w:val="0"/>
        </w:rPr>
        <w:t xml:space="preserve">. </w:t>
      </w:r>
      <w:r w:rsidR="00841309" w:rsidRPr="00F8523B">
        <w:rPr>
          <w:rFonts w:asciiTheme="minorBidi" w:eastAsia="+mn-ea" w:hAnsiTheme="minorBidi"/>
          <w:i w:val="0"/>
          <w:iCs w:val="0"/>
          <w:color w:val="000000"/>
          <w:kern w:val="24"/>
        </w:rPr>
        <w:t>Black polygons and gates are representative of (A) splenocyte population, (B) splenocyte single cell population (C) live cell population</w:t>
      </w:r>
    </w:p>
    <w:p w14:paraId="74A2A936" w14:textId="4D4E80E3" w:rsidR="00841309" w:rsidRPr="00F8523B" w:rsidRDefault="00F8523B" w:rsidP="00841309">
      <w:pPr>
        <w:keepNext/>
      </w:pPr>
      <w:r w:rsidRPr="00F8523B">
        <w:rPr>
          <w:noProof/>
        </w:rPr>
        <w:lastRenderedPageBreak/>
        <w:drawing>
          <wp:inline distT="0" distB="0" distL="0" distR="0" wp14:anchorId="0A98CE76" wp14:editId="0B89C679">
            <wp:extent cx="5882640" cy="5383987"/>
            <wp:effectExtent l="0" t="0" r="381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b="34363"/>
                    <a:stretch/>
                  </pic:blipFill>
                  <pic:spPr bwMode="auto">
                    <a:xfrm>
                      <a:off x="0" y="0"/>
                      <a:ext cx="5891257" cy="5391874"/>
                    </a:xfrm>
                    <a:prstGeom prst="rect">
                      <a:avLst/>
                    </a:prstGeom>
                    <a:noFill/>
                    <a:ln>
                      <a:noFill/>
                    </a:ln>
                    <a:extLst>
                      <a:ext uri="{53640926-AAD7-44D8-BBD7-CCE9431645EC}">
                        <a14:shadowObscured xmlns:a14="http://schemas.microsoft.com/office/drawing/2010/main"/>
                      </a:ext>
                    </a:extLst>
                  </pic:spPr>
                </pic:pic>
              </a:graphicData>
            </a:graphic>
          </wp:inline>
        </w:drawing>
      </w:r>
    </w:p>
    <w:p w14:paraId="5AAE3A5A" w14:textId="2B8304D8" w:rsidR="00F8523B" w:rsidRPr="00F8523B" w:rsidRDefault="000F4F38" w:rsidP="00F8523B">
      <w:pPr>
        <w:pStyle w:val="Caption"/>
        <w:rPr>
          <w:rFonts w:asciiTheme="minorBidi" w:eastAsia="+mn-ea" w:hAnsiTheme="minorBidi"/>
          <w:i w:val="0"/>
          <w:iCs w:val="0"/>
          <w:color w:val="000000"/>
          <w:kern w:val="24"/>
        </w:rPr>
      </w:pPr>
      <w:r w:rsidRPr="002D1090">
        <w:rPr>
          <w:rFonts w:ascii="Aptos" w:eastAsia="+mn-ea" w:hAnsi="Aptos" w:cstheme="minorHAnsi"/>
          <w:b/>
          <w:bCs/>
          <w:i w:val="0"/>
          <w:iCs w:val="0"/>
          <w:color w:val="000000" w:themeColor="text1"/>
          <w:kern w:val="24"/>
        </w:rPr>
        <w:t>Supplementary</w:t>
      </w:r>
      <w:r w:rsidRPr="002D1090">
        <w:rPr>
          <w:rFonts w:ascii="Aptos" w:hAnsi="Aptos"/>
          <w:b/>
          <w:bCs/>
          <w:i w:val="0"/>
          <w:iCs w:val="0"/>
          <w:color w:val="000000" w:themeColor="text1"/>
        </w:rPr>
        <w:t xml:space="preserve"> Fig. </w:t>
      </w:r>
      <w:r w:rsidR="00093849">
        <w:rPr>
          <w:rFonts w:ascii="Aptos" w:hAnsi="Aptos"/>
          <w:b/>
          <w:bCs/>
          <w:i w:val="0"/>
          <w:iCs w:val="0"/>
          <w:color w:val="000000" w:themeColor="text1"/>
        </w:rPr>
        <w:t>10</w:t>
      </w:r>
      <w:r w:rsidR="00841309" w:rsidRPr="002D1090">
        <w:rPr>
          <w:rFonts w:ascii="Aptos" w:eastAsia="+mn-ea" w:hAnsi="Aptos"/>
          <w:b/>
          <w:bCs/>
          <w:i w:val="0"/>
          <w:iCs w:val="0"/>
          <w:color w:val="000000"/>
          <w:kern w:val="24"/>
        </w:rPr>
        <w:t>.</w:t>
      </w:r>
      <w:r w:rsidR="00841309" w:rsidRPr="00F8523B">
        <w:rPr>
          <w:rFonts w:asciiTheme="minorBidi" w:eastAsia="+mn-ea" w:hAnsiTheme="minorBidi"/>
          <w:b/>
          <w:bCs/>
          <w:i w:val="0"/>
          <w:iCs w:val="0"/>
          <w:color w:val="000000"/>
          <w:kern w:val="24"/>
        </w:rPr>
        <w:t xml:space="preserve"> Gating strategies for isolated mouse </w:t>
      </w:r>
      <w:r w:rsidR="00F8523B" w:rsidRPr="00F8523B">
        <w:rPr>
          <w:rFonts w:asciiTheme="minorBidi" w:eastAsia="+mn-ea" w:hAnsiTheme="minorBidi"/>
          <w:b/>
          <w:bCs/>
          <w:i w:val="0"/>
          <w:iCs w:val="0"/>
          <w:color w:val="000000"/>
          <w:kern w:val="24"/>
        </w:rPr>
        <w:t xml:space="preserve">splenocyte </w:t>
      </w:r>
      <w:r w:rsidR="00841309" w:rsidRPr="00F8523B">
        <w:rPr>
          <w:rFonts w:asciiTheme="minorBidi" w:eastAsia="+mn-ea" w:hAnsiTheme="minorBidi"/>
          <w:b/>
          <w:bCs/>
          <w:i w:val="0"/>
          <w:iCs w:val="0"/>
          <w:color w:val="000000"/>
          <w:kern w:val="24"/>
        </w:rPr>
        <w:t>immunofluorescen</w:t>
      </w:r>
      <w:r w:rsidR="00FD0DD0">
        <w:rPr>
          <w:rFonts w:asciiTheme="minorBidi" w:eastAsia="+mn-ea" w:hAnsiTheme="minorBidi"/>
          <w:b/>
          <w:bCs/>
          <w:i w:val="0"/>
          <w:iCs w:val="0"/>
          <w:color w:val="000000"/>
          <w:kern w:val="24"/>
        </w:rPr>
        <w:t>t</w:t>
      </w:r>
      <w:r w:rsidR="00841309" w:rsidRPr="00F8523B">
        <w:rPr>
          <w:rFonts w:asciiTheme="minorBidi" w:eastAsia="+mn-ea" w:hAnsiTheme="minorBidi"/>
          <w:b/>
          <w:bCs/>
          <w:i w:val="0"/>
          <w:iCs w:val="0"/>
          <w:color w:val="000000"/>
          <w:kern w:val="24"/>
        </w:rPr>
        <w:t xml:space="preserve"> staining with </w:t>
      </w:r>
      <w:r w:rsidR="00F8523B" w:rsidRPr="00F8523B">
        <w:rPr>
          <w:rFonts w:asciiTheme="minorBidi" w:eastAsia="+mn-ea" w:hAnsiTheme="minorBidi"/>
          <w:b/>
          <w:bCs/>
          <w:i w:val="0"/>
          <w:iCs w:val="0"/>
          <w:color w:val="000000"/>
          <w:kern w:val="24"/>
        </w:rPr>
        <w:t>immune cell markers and EdU+</w:t>
      </w:r>
      <w:r w:rsidR="00841309" w:rsidRPr="00F8523B">
        <w:rPr>
          <w:rFonts w:asciiTheme="minorBidi" w:eastAsia="+mn-ea" w:hAnsiTheme="minorBidi"/>
          <w:b/>
          <w:bCs/>
          <w:i w:val="0"/>
          <w:iCs w:val="0"/>
          <w:color w:val="000000"/>
          <w:kern w:val="24"/>
        </w:rPr>
        <w:t xml:space="preserve">. </w:t>
      </w:r>
      <w:r w:rsidR="00841309" w:rsidRPr="00A17B2A">
        <w:rPr>
          <w:rFonts w:asciiTheme="minorBidi" w:eastAsia="+mn-ea" w:hAnsiTheme="minorBidi"/>
          <w:b/>
          <w:bCs/>
          <w:i w:val="0"/>
          <w:iCs w:val="0"/>
          <w:color w:val="000000"/>
          <w:kern w:val="24"/>
        </w:rPr>
        <w:t xml:space="preserve">Related to Figure </w:t>
      </w:r>
      <w:r w:rsidR="002D1090" w:rsidRPr="00A17B2A">
        <w:rPr>
          <w:rFonts w:asciiTheme="minorBidi" w:eastAsia="+mn-ea" w:hAnsiTheme="minorBidi"/>
          <w:b/>
          <w:bCs/>
          <w:i w:val="0"/>
          <w:iCs w:val="0"/>
          <w:color w:val="000000"/>
          <w:kern w:val="24"/>
        </w:rPr>
        <w:t>5</w:t>
      </w:r>
      <w:r w:rsidR="00841309" w:rsidRPr="00A17B2A">
        <w:rPr>
          <w:rFonts w:asciiTheme="minorBidi" w:eastAsia="+mn-ea" w:hAnsiTheme="minorBidi"/>
          <w:b/>
          <w:bCs/>
          <w:i w:val="0"/>
          <w:iCs w:val="0"/>
          <w:color w:val="000000"/>
          <w:kern w:val="24"/>
        </w:rPr>
        <w:t xml:space="preserve">. </w:t>
      </w:r>
      <w:r w:rsidR="00841309" w:rsidRPr="00A17B2A">
        <w:rPr>
          <w:rFonts w:asciiTheme="minorBidi" w:eastAsia="+mn-ea" w:hAnsiTheme="minorBidi"/>
          <w:i w:val="0"/>
          <w:iCs w:val="0"/>
          <w:color w:val="000000"/>
          <w:kern w:val="24"/>
        </w:rPr>
        <w:t xml:space="preserve">Black polygons and gates are representative of (A) CD4+ and EdU+ CD4+ (B) CD8+ and EdU+ CD8+ </w:t>
      </w:r>
      <w:r w:rsidR="00F8523B" w:rsidRPr="00A17B2A">
        <w:rPr>
          <w:rFonts w:asciiTheme="minorBidi" w:eastAsia="+mn-ea" w:hAnsiTheme="minorBidi"/>
          <w:i w:val="0"/>
          <w:iCs w:val="0"/>
          <w:color w:val="000000"/>
          <w:kern w:val="24"/>
        </w:rPr>
        <w:t>cells</w:t>
      </w:r>
      <w:r w:rsidR="00841309" w:rsidRPr="00A17B2A">
        <w:rPr>
          <w:rFonts w:asciiTheme="minorBidi" w:eastAsia="+mn-ea" w:hAnsiTheme="minorBidi"/>
          <w:i w:val="0"/>
          <w:iCs w:val="0"/>
          <w:color w:val="000000"/>
          <w:kern w:val="24"/>
        </w:rPr>
        <w:t>. Red histograms represented unstained cells. Blue histograms represent stained example population.</w:t>
      </w:r>
      <w:r w:rsidR="00841309" w:rsidRPr="00F8523B">
        <w:rPr>
          <w:rFonts w:asciiTheme="minorBidi" w:eastAsia="+mn-ea" w:hAnsiTheme="minorBidi"/>
          <w:i w:val="0"/>
          <w:iCs w:val="0"/>
          <w:color w:val="000000"/>
          <w:kern w:val="24"/>
        </w:rPr>
        <w:t xml:space="preserve"> </w:t>
      </w:r>
    </w:p>
    <w:p w14:paraId="4D7CE45E" w14:textId="77777777" w:rsidR="00FD0DD0" w:rsidRDefault="00F8523B" w:rsidP="00FD0DD0">
      <w:pPr>
        <w:pStyle w:val="Caption"/>
        <w:keepNext/>
      </w:pPr>
      <w:r>
        <w:rPr>
          <w:i w:val="0"/>
          <w:iCs w:val="0"/>
          <w:noProof/>
        </w:rPr>
        <w:lastRenderedPageBreak/>
        <w:drawing>
          <wp:inline distT="0" distB="0" distL="0" distR="0" wp14:anchorId="0D065AF6" wp14:editId="33927816">
            <wp:extent cx="5681135" cy="795737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8483" cy="7995679"/>
                    </a:xfrm>
                    <a:prstGeom prst="rect">
                      <a:avLst/>
                    </a:prstGeom>
                    <a:noFill/>
                  </pic:spPr>
                </pic:pic>
              </a:graphicData>
            </a:graphic>
          </wp:inline>
        </w:drawing>
      </w:r>
    </w:p>
    <w:p w14:paraId="69D98534" w14:textId="0B782020" w:rsidR="00B877BD" w:rsidRDefault="000F4F38" w:rsidP="00FD0DD0">
      <w:pPr>
        <w:pStyle w:val="Caption"/>
        <w:rPr>
          <w:rFonts w:asciiTheme="minorBidi" w:eastAsia="+mn-ea" w:hAnsiTheme="minorBidi"/>
          <w:i w:val="0"/>
          <w:iCs w:val="0"/>
          <w:color w:val="000000"/>
          <w:kern w:val="24"/>
        </w:rPr>
      </w:pPr>
      <w:r w:rsidRPr="000F4F38">
        <w:rPr>
          <w:rFonts w:eastAsia="+mn-ea" w:cstheme="minorHAnsi"/>
          <w:b/>
          <w:bCs/>
          <w:i w:val="0"/>
          <w:iCs w:val="0"/>
          <w:color w:val="000000" w:themeColor="text1"/>
          <w:kern w:val="24"/>
          <w:sz w:val="22"/>
          <w:szCs w:val="22"/>
        </w:rPr>
        <w:t>Supplementary</w:t>
      </w:r>
      <w:r w:rsidRPr="000F4F38">
        <w:rPr>
          <w:b/>
          <w:bCs/>
          <w:i w:val="0"/>
          <w:iCs w:val="0"/>
          <w:color w:val="000000" w:themeColor="text1"/>
          <w:sz w:val="22"/>
          <w:szCs w:val="22"/>
        </w:rPr>
        <w:t xml:space="preserve"> Fig. </w:t>
      </w:r>
      <w:r w:rsidR="001533AA">
        <w:rPr>
          <w:b/>
          <w:bCs/>
          <w:i w:val="0"/>
          <w:iCs w:val="0"/>
          <w:color w:val="000000" w:themeColor="text1"/>
          <w:sz w:val="22"/>
          <w:szCs w:val="22"/>
        </w:rPr>
        <w:t>1</w:t>
      </w:r>
      <w:r w:rsidR="00093849">
        <w:rPr>
          <w:b/>
          <w:bCs/>
          <w:i w:val="0"/>
          <w:iCs w:val="0"/>
          <w:color w:val="000000" w:themeColor="text1"/>
          <w:sz w:val="22"/>
          <w:szCs w:val="22"/>
        </w:rPr>
        <w:t>1</w:t>
      </w:r>
      <w:r w:rsidR="00FD0DD0" w:rsidRPr="000F4F38">
        <w:rPr>
          <w:rFonts w:asciiTheme="minorBidi" w:eastAsia="+mn-ea" w:hAnsiTheme="minorBidi"/>
          <w:b/>
          <w:bCs/>
          <w:i w:val="0"/>
          <w:iCs w:val="0"/>
          <w:color w:val="000000"/>
          <w:kern w:val="24"/>
          <w:sz w:val="22"/>
          <w:szCs w:val="22"/>
        </w:rPr>
        <w:t>.</w:t>
      </w:r>
      <w:r w:rsidR="00FD0DD0" w:rsidRPr="00FD0DD0">
        <w:rPr>
          <w:rFonts w:asciiTheme="minorBidi" w:eastAsia="+mn-ea" w:hAnsiTheme="minorBidi"/>
          <w:b/>
          <w:bCs/>
          <w:i w:val="0"/>
          <w:iCs w:val="0"/>
          <w:color w:val="000000"/>
          <w:kern w:val="24"/>
        </w:rPr>
        <w:t xml:space="preserve"> </w:t>
      </w:r>
      <w:r w:rsidR="00FD0DD0" w:rsidRPr="00F8523B">
        <w:rPr>
          <w:rFonts w:asciiTheme="minorBidi" w:eastAsia="+mn-ea" w:hAnsiTheme="minorBidi"/>
          <w:b/>
          <w:bCs/>
          <w:i w:val="0"/>
          <w:iCs w:val="0"/>
          <w:color w:val="000000"/>
          <w:kern w:val="24"/>
        </w:rPr>
        <w:t xml:space="preserve">Gating strategies for isolated mouse </w:t>
      </w:r>
      <w:r w:rsidR="00FD0DD0">
        <w:rPr>
          <w:rFonts w:asciiTheme="minorBidi" w:eastAsia="+mn-ea" w:hAnsiTheme="minorBidi"/>
          <w:b/>
          <w:bCs/>
          <w:i w:val="0"/>
          <w:iCs w:val="0"/>
          <w:color w:val="000000"/>
          <w:kern w:val="24"/>
        </w:rPr>
        <w:t>pancreatic islet cell</w:t>
      </w:r>
      <w:r w:rsidR="00FD0DD0" w:rsidRPr="00F8523B">
        <w:rPr>
          <w:rFonts w:asciiTheme="minorBidi" w:eastAsia="+mn-ea" w:hAnsiTheme="minorBidi"/>
          <w:b/>
          <w:bCs/>
          <w:i w:val="0"/>
          <w:iCs w:val="0"/>
          <w:color w:val="000000"/>
          <w:kern w:val="24"/>
        </w:rPr>
        <w:t xml:space="preserve"> immunofluorescen</w:t>
      </w:r>
      <w:r w:rsidR="00FD0DD0">
        <w:rPr>
          <w:rFonts w:asciiTheme="minorBidi" w:eastAsia="+mn-ea" w:hAnsiTheme="minorBidi"/>
          <w:b/>
          <w:bCs/>
          <w:i w:val="0"/>
          <w:iCs w:val="0"/>
          <w:color w:val="000000"/>
          <w:kern w:val="24"/>
        </w:rPr>
        <w:t>t</w:t>
      </w:r>
      <w:r w:rsidR="00FD0DD0" w:rsidRPr="00F8523B">
        <w:rPr>
          <w:rFonts w:asciiTheme="minorBidi" w:eastAsia="+mn-ea" w:hAnsiTheme="minorBidi"/>
          <w:b/>
          <w:bCs/>
          <w:i w:val="0"/>
          <w:iCs w:val="0"/>
          <w:color w:val="000000"/>
          <w:kern w:val="24"/>
        </w:rPr>
        <w:t xml:space="preserve"> staining with immune cell markers and EdU+. </w:t>
      </w:r>
      <w:r w:rsidR="00FD0DD0" w:rsidRPr="00140CE8">
        <w:rPr>
          <w:rFonts w:asciiTheme="minorBidi" w:eastAsia="+mn-ea" w:hAnsiTheme="minorBidi"/>
          <w:b/>
          <w:bCs/>
          <w:i w:val="0"/>
          <w:iCs w:val="0"/>
          <w:color w:val="000000"/>
          <w:kern w:val="24"/>
        </w:rPr>
        <w:t xml:space="preserve">Related to Figure </w:t>
      </w:r>
      <w:r w:rsidR="00140CE8" w:rsidRPr="00140CE8">
        <w:rPr>
          <w:rFonts w:asciiTheme="minorBidi" w:eastAsia="+mn-ea" w:hAnsiTheme="minorBidi"/>
          <w:b/>
          <w:bCs/>
          <w:i w:val="0"/>
          <w:iCs w:val="0"/>
          <w:color w:val="000000"/>
          <w:kern w:val="24"/>
        </w:rPr>
        <w:t>5</w:t>
      </w:r>
      <w:r w:rsidR="00FD0DD0" w:rsidRPr="00140CE8">
        <w:rPr>
          <w:rFonts w:asciiTheme="minorBidi" w:eastAsia="+mn-ea" w:hAnsiTheme="minorBidi"/>
          <w:b/>
          <w:bCs/>
          <w:i w:val="0"/>
          <w:iCs w:val="0"/>
          <w:color w:val="000000"/>
          <w:kern w:val="24"/>
        </w:rPr>
        <w:t xml:space="preserve">. </w:t>
      </w:r>
      <w:r w:rsidR="00FD0DD0" w:rsidRPr="00140CE8">
        <w:rPr>
          <w:rFonts w:asciiTheme="minorBidi" w:eastAsia="+mn-ea" w:hAnsiTheme="minorBidi"/>
          <w:i w:val="0"/>
          <w:iCs w:val="0"/>
          <w:color w:val="000000"/>
          <w:kern w:val="24"/>
        </w:rPr>
        <w:t>Black polygons and gates are representative of (A) CD4+ and EdU+ CD4+ (B) CD8+ and EdU+ CD8+ (C) F4/80+ and EdU+ F4/80+ cells.</w:t>
      </w:r>
      <w:r w:rsidR="00FD0DD0" w:rsidRPr="00F8523B">
        <w:rPr>
          <w:rFonts w:asciiTheme="minorBidi" w:eastAsia="+mn-ea" w:hAnsiTheme="minorBidi"/>
          <w:i w:val="0"/>
          <w:iCs w:val="0"/>
          <w:color w:val="000000"/>
          <w:kern w:val="24"/>
        </w:rPr>
        <w:t xml:space="preserve"> Red histograms represented unstained cells. Blue histograms represent stained example population. </w:t>
      </w:r>
    </w:p>
    <w:p w14:paraId="092D94C7" w14:textId="5E808AEF" w:rsidR="0067659B" w:rsidRDefault="00212B23" w:rsidP="0067659B">
      <w:r>
        <w:rPr>
          <w:noProof/>
        </w:rPr>
        <w:lastRenderedPageBreak/>
        <w:drawing>
          <wp:inline distT="0" distB="0" distL="0" distR="0" wp14:anchorId="045ECBD8" wp14:editId="7F85C77E">
            <wp:extent cx="5731510" cy="4083050"/>
            <wp:effectExtent l="0" t="0" r="0" b="6350"/>
            <wp:docPr id="1896275733" name="Picture 1" descr="A graph of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75733" name="Picture 1" descr="A graph of different types of cells&#10;&#10;AI-generated content may be incorrect."/>
                    <pic:cNvPicPr/>
                  </pic:nvPicPr>
                  <pic:blipFill>
                    <a:blip r:embed="rId17"/>
                    <a:stretch>
                      <a:fillRect/>
                    </a:stretch>
                  </pic:blipFill>
                  <pic:spPr>
                    <a:xfrm>
                      <a:off x="0" y="0"/>
                      <a:ext cx="5731510" cy="4083050"/>
                    </a:xfrm>
                    <a:prstGeom prst="rect">
                      <a:avLst/>
                    </a:prstGeom>
                  </pic:spPr>
                </pic:pic>
              </a:graphicData>
            </a:graphic>
          </wp:inline>
        </w:drawing>
      </w:r>
    </w:p>
    <w:p w14:paraId="285E9920" w14:textId="18039378" w:rsidR="005B61A9" w:rsidRDefault="005B61A9" w:rsidP="005B61A9">
      <w:pPr>
        <w:jc w:val="both"/>
      </w:pPr>
      <w:r w:rsidRPr="005B61A9">
        <w:rPr>
          <w:rFonts w:eastAsia="+mn-ea" w:cstheme="minorHAnsi"/>
          <w:b/>
          <w:bCs/>
          <w:color w:val="000000" w:themeColor="text1"/>
          <w:kern w:val="24"/>
        </w:rPr>
        <w:t>Supplementary</w:t>
      </w:r>
      <w:r w:rsidRPr="005B61A9">
        <w:rPr>
          <w:b/>
          <w:bCs/>
          <w:color w:val="000000" w:themeColor="text1"/>
        </w:rPr>
        <w:t xml:space="preserve"> Fig. </w:t>
      </w:r>
      <w:r>
        <w:rPr>
          <w:b/>
          <w:bCs/>
          <w:color w:val="000000" w:themeColor="text1"/>
        </w:rPr>
        <w:t>1</w:t>
      </w:r>
      <w:r w:rsidR="00093849">
        <w:rPr>
          <w:b/>
          <w:bCs/>
          <w:color w:val="000000" w:themeColor="text1"/>
        </w:rPr>
        <w:t>2</w:t>
      </w:r>
      <w:r w:rsidRPr="005B61A9">
        <w:rPr>
          <w:rFonts w:asciiTheme="minorBidi" w:eastAsia="+mn-ea" w:hAnsiTheme="minorBidi"/>
          <w:b/>
          <w:bCs/>
          <w:color w:val="000000"/>
          <w:kern w:val="24"/>
        </w:rPr>
        <w:t>.</w:t>
      </w:r>
      <w:r w:rsidRPr="00FD0DD0">
        <w:rPr>
          <w:rFonts w:asciiTheme="minorBidi" w:eastAsia="+mn-ea" w:hAnsiTheme="minorBidi"/>
          <w:b/>
          <w:bCs/>
          <w:color w:val="000000"/>
          <w:kern w:val="24"/>
        </w:rPr>
        <w:t xml:space="preserve"> </w:t>
      </w:r>
      <w:r>
        <w:t xml:space="preserve">Percentages of </w:t>
      </w:r>
      <w:r w:rsidRPr="009F6ABC">
        <w:rPr>
          <w:b/>
          <w:bCs/>
        </w:rPr>
        <w:t>(</w:t>
      </w:r>
      <w:r>
        <w:rPr>
          <w:b/>
          <w:bCs/>
        </w:rPr>
        <w:t>A</w:t>
      </w:r>
      <w:r w:rsidRPr="009F6ABC">
        <w:rPr>
          <w:b/>
          <w:bCs/>
        </w:rPr>
        <w:t>)</w:t>
      </w:r>
      <w:r>
        <w:t xml:space="preserve"> IFN</w:t>
      </w:r>
      <w:r w:rsidRPr="005B61A9">
        <w:rPr>
          <w:rFonts w:ascii="Symbol" w:hAnsi="Symbol"/>
        </w:rPr>
        <w:t>g</w:t>
      </w:r>
      <w:r>
        <w:t xml:space="preserve">+, </w:t>
      </w:r>
      <w:r w:rsidRPr="009F6ABC">
        <w:rPr>
          <w:b/>
          <w:bCs/>
        </w:rPr>
        <w:t>(</w:t>
      </w:r>
      <w:r>
        <w:rPr>
          <w:b/>
          <w:bCs/>
        </w:rPr>
        <w:t>B</w:t>
      </w:r>
      <w:r w:rsidRPr="009F6ABC">
        <w:rPr>
          <w:b/>
          <w:bCs/>
        </w:rPr>
        <w:t>)</w:t>
      </w:r>
      <w:r>
        <w:t xml:space="preserve"> IFN</w:t>
      </w:r>
      <w:r w:rsidRPr="005B61A9">
        <w:rPr>
          <w:rFonts w:ascii="Symbol" w:hAnsi="Symbol"/>
        </w:rPr>
        <w:t>g</w:t>
      </w:r>
      <w:r>
        <w:t xml:space="preserve">+CD4+, </w:t>
      </w:r>
      <w:r w:rsidRPr="009F6ABC">
        <w:rPr>
          <w:b/>
          <w:bCs/>
        </w:rPr>
        <w:t>(</w:t>
      </w:r>
      <w:r w:rsidR="00996526">
        <w:rPr>
          <w:b/>
          <w:bCs/>
        </w:rPr>
        <w:t>C</w:t>
      </w:r>
      <w:r w:rsidRPr="009F6ABC">
        <w:rPr>
          <w:b/>
          <w:bCs/>
        </w:rPr>
        <w:t xml:space="preserve">) </w:t>
      </w:r>
      <w:r>
        <w:t>IFN</w:t>
      </w:r>
      <w:r w:rsidRPr="005B61A9">
        <w:rPr>
          <w:rFonts w:ascii="Symbol" w:hAnsi="Symbol"/>
        </w:rPr>
        <w:t>g</w:t>
      </w:r>
      <w:r>
        <w:t xml:space="preserve">+F4/80+, </w:t>
      </w:r>
      <w:r w:rsidR="00212B23" w:rsidRPr="009F6ABC">
        <w:rPr>
          <w:b/>
          <w:bCs/>
        </w:rPr>
        <w:t>(</w:t>
      </w:r>
      <w:r w:rsidR="00212B23">
        <w:rPr>
          <w:b/>
          <w:bCs/>
        </w:rPr>
        <w:t>D</w:t>
      </w:r>
      <w:r w:rsidR="00212B23" w:rsidRPr="009F6ABC">
        <w:rPr>
          <w:b/>
          <w:bCs/>
        </w:rPr>
        <w:t>)</w:t>
      </w:r>
      <w:r w:rsidR="00212B23">
        <w:t xml:space="preserve"> IFN</w:t>
      </w:r>
      <w:r w:rsidR="00212B23" w:rsidRPr="005B61A9">
        <w:rPr>
          <w:rFonts w:ascii="Symbol" w:hAnsi="Symbol"/>
        </w:rPr>
        <w:t>g</w:t>
      </w:r>
      <w:r w:rsidR="00212B23">
        <w:t>+CD8+,</w:t>
      </w:r>
      <w:r w:rsidR="00212B23" w:rsidRPr="00212B23">
        <w:t xml:space="preserve"> </w:t>
      </w:r>
      <w:r w:rsidR="00B90DDF" w:rsidRPr="00B90DDF">
        <w:rPr>
          <w:b/>
          <w:bCs/>
        </w:rPr>
        <w:t>(E)</w:t>
      </w:r>
      <w:r w:rsidR="00B90DDF">
        <w:t xml:space="preserve"> TNF</w:t>
      </w:r>
      <w:r w:rsidR="00B90DDF">
        <w:rPr>
          <w:rFonts w:ascii="Symbol" w:hAnsi="Symbol"/>
        </w:rPr>
        <w:t>a</w:t>
      </w:r>
      <w:r w:rsidR="00212B23">
        <w:t>+CD</w:t>
      </w:r>
      <w:r w:rsidR="00B90DDF">
        <w:t>8</w:t>
      </w:r>
      <w:r w:rsidR="00212B23">
        <w:t>+,</w:t>
      </w:r>
      <w:r w:rsidR="00B90DDF">
        <w:t xml:space="preserve"> </w:t>
      </w:r>
      <w:r>
        <w:t xml:space="preserve">within the islet cell of </w:t>
      </w:r>
      <w:proofErr w:type="spellStart"/>
      <w:r>
        <w:t>CAB</w:t>
      </w:r>
      <w:r w:rsidRPr="002F7906">
        <w:rPr>
          <w:vertAlign w:val="superscript"/>
        </w:rPr>
        <w:t>Saline</w:t>
      </w:r>
      <w:proofErr w:type="spellEnd"/>
      <w:r>
        <w:t>, MLDS</w:t>
      </w:r>
      <w:r w:rsidRPr="002F7906">
        <w:rPr>
          <w:vertAlign w:val="superscript"/>
        </w:rPr>
        <w:t>Saline</w:t>
      </w:r>
      <w:r>
        <w:t xml:space="preserve"> and MLDS</w:t>
      </w:r>
      <w:r w:rsidRPr="002F7906">
        <w:rPr>
          <w:vertAlign w:val="superscript"/>
        </w:rPr>
        <w:t>FK866</w:t>
      </w:r>
      <w:r>
        <w:t xml:space="preserve"> mice. n = 7-14 pools of islets of which a maximum of 5000 cells were analysed. </w:t>
      </w:r>
      <w:r w:rsidR="00032562" w:rsidRPr="00032562">
        <w:rPr>
          <w:b/>
          <w:bCs/>
        </w:rPr>
        <w:t>(F)</w:t>
      </w:r>
      <w:r w:rsidR="00032562">
        <w:t xml:space="preserve"> PDLN CD8 mRNA levels. </w:t>
      </w:r>
      <w:r>
        <w:t>Values in all graphs are represented as means ± SEM. Statistical significance is depicted by *p &lt; 0.05.</w:t>
      </w:r>
    </w:p>
    <w:p w14:paraId="352C1046" w14:textId="77777777" w:rsidR="00680206" w:rsidRDefault="00680206" w:rsidP="005B61A9">
      <w:pPr>
        <w:jc w:val="both"/>
      </w:pPr>
    </w:p>
    <w:p w14:paraId="1F324745" w14:textId="77777777" w:rsidR="00680206" w:rsidRDefault="00680206" w:rsidP="005B61A9">
      <w:pPr>
        <w:jc w:val="both"/>
      </w:pPr>
    </w:p>
    <w:p w14:paraId="75177933" w14:textId="77777777" w:rsidR="00680206" w:rsidRDefault="00680206" w:rsidP="005B61A9">
      <w:pPr>
        <w:jc w:val="both"/>
      </w:pPr>
    </w:p>
    <w:p w14:paraId="093CD54B" w14:textId="77777777" w:rsidR="00680206" w:rsidRDefault="00680206" w:rsidP="005B61A9">
      <w:pPr>
        <w:jc w:val="both"/>
      </w:pPr>
    </w:p>
    <w:p w14:paraId="14EC5E7A" w14:textId="77777777" w:rsidR="00680206" w:rsidRDefault="00680206" w:rsidP="005B61A9">
      <w:pPr>
        <w:jc w:val="both"/>
      </w:pPr>
    </w:p>
    <w:p w14:paraId="225C41BF" w14:textId="77777777" w:rsidR="00680206" w:rsidRDefault="00680206" w:rsidP="005B61A9">
      <w:pPr>
        <w:jc w:val="both"/>
      </w:pPr>
    </w:p>
    <w:p w14:paraId="31F97540" w14:textId="77777777" w:rsidR="00680206" w:rsidRDefault="00680206" w:rsidP="005B61A9">
      <w:pPr>
        <w:jc w:val="both"/>
      </w:pPr>
    </w:p>
    <w:p w14:paraId="77F0C868" w14:textId="77777777" w:rsidR="00680206" w:rsidRDefault="00680206" w:rsidP="005B61A9">
      <w:pPr>
        <w:jc w:val="both"/>
      </w:pPr>
    </w:p>
    <w:p w14:paraId="59D804C2" w14:textId="77777777" w:rsidR="00680206" w:rsidRDefault="00680206" w:rsidP="005B61A9">
      <w:pPr>
        <w:jc w:val="both"/>
      </w:pPr>
    </w:p>
    <w:p w14:paraId="3709F125" w14:textId="77777777" w:rsidR="00680206" w:rsidRDefault="00680206" w:rsidP="005B61A9">
      <w:pPr>
        <w:jc w:val="both"/>
      </w:pPr>
    </w:p>
    <w:p w14:paraId="09377D8E" w14:textId="77777777" w:rsidR="00680206" w:rsidRDefault="00680206" w:rsidP="005B61A9">
      <w:pPr>
        <w:jc w:val="both"/>
      </w:pPr>
    </w:p>
    <w:p w14:paraId="792A43FB" w14:textId="77777777" w:rsidR="00680206" w:rsidRDefault="00680206" w:rsidP="005B61A9">
      <w:pPr>
        <w:jc w:val="both"/>
      </w:pPr>
    </w:p>
    <w:p w14:paraId="510DDBBF" w14:textId="77777777" w:rsidR="00680206" w:rsidRDefault="00680206" w:rsidP="005B61A9">
      <w:pPr>
        <w:jc w:val="both"/>
      </w:pPr>
    </w:p>
    <w:p w14:paraId="677DEA47" w14:textId="77777777" w:rsidR="00680206" w:rsidRDefault="00680206" w:rsidP="005B61A9">
      <w:pPr>
        <w:jc w:val="both"/>
      </w:pPr>
    </w:p>
    <w:p w14:paraId="42BF57A1" w14:textId="77777777" w:rsidR="00680206" w:rsidRDefault="00680206" w:rsidP="005B61A9">
      <w:pPr>
        <w:jc w:val="both"/>
      </w:pPr>
    </w:p>
    <w:p w14:paraId="06C1C438" w14:textId="77777777" w:rsidR="00680206" w:rsidRDefault="00680206" w:rsidP="005B61A9">
      <w:pPr>
        <w:jc w:val="both"/>
      </w:pPr>
    </w:p>
    <w:p w14:paraId="2D9D4BDD" w14:textId="77777777" w:rsidR="00680206" w:rsidRDefault="00680206" w:rsidP="005B61A9">
      <w:pPr>
        <w:jc w:val="both"/>
      </w:pPr>
    </w:p>
    <w:p w14:paraId="32684453" w14:textId="77777777" w:rsidR="00680206" w:rsidRDefault="00680206" w:rsidP="005B61A9">
      <w:pPr>
        <w:jc w:val="both"/>
      </w:pPr>
    </w:p>
    <w:p w14:paraId="7E2A2C5D" w14:textId="77777777" w:rsidR="00680206" w:rsidRDefault="00680206" w:rsidP="005B61A9">
      <w:pPr>
        <w:jc w:val="both"/>
      </w:pPr>
    </w:p>
    <w:p w14:paraId="7A082F54" w14:textId="77777777" w:rsidR="00680206" w:rsidRDefault="00680206" w:rsidP="005B61A9">
      <w:pPr>
        <w:jc w:val="both"/>
      </w:pPr>
    </w:p>
    <w:p w14:paraId="251EF717" w14:textId="41658548" w:rsidR="00680206" w:rsidRDefault="00680206" w:rsidP="005B61A9">
      <w:pPr>
        <w:jc w:val="both"/>
      </w:pPr>
    </w:p>
    <w:p w14:paraId="6C44D5E4" w14:textId="41C47238" w:rsidR="005B61A9" w:rsidRPr="005B61A9" w:rsidRDefault="005B61A9" w:rsidP="005B61A9">
      <w:pPr>
        <w:tabs>
          <w:tab w:val="left" w:pos="1220"/>
        </w:tabs>
      </w:pPr>
    </w:p>
    <w:sectPr w:rsidR="005B61A9" w:rsidRPr="005B61A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BDFBA" w14:textId="77777777" w:rsidR="007E3CB0" w:rsidRDefault="007E3CB0" w:rsidP="000A17B5">
      <w:pPr>
        <w:spacing w:after="0" w:line="240" w:lineRule="auto"/>
      </w:pPr>
      <w:r>
        <w:separator/>
      </w:r>
    </w:p>
  </w:endnote>
  <w:endnote w:type="continuationSeparator" w:id="0">
    <w:p w14:paraId="1664087D" w14:textId="77777777" w:rsidR="007E3CB0" w:rsidRDefault="007E3CB0" w:rsidP="000A1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n-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C8A6C" w14:textId="77777777" w:rsidR="007E3CB0" w:rsidRDefault="007E3CB0" w:rsidP="000A17B5">
      <w:pPr>
        <w:spacing w:after="0" w:line="240" w:lineRule="auto"/>
      </w:pPr>
      <w:r>
        <w:separator/>
      </w:r>
    </w:p>
  </w:footnote>
  <w:footnote w:type="continuationSeparator" w:id="0">
    <w:p w14:paraId="4A9DD384" w14:textId="77777777" w:rsidR="007E3CB0" w:rsidRDefault="007E3CB0" w:rsidP="000A17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2DB"/>
    <w:rsid w:val="00032562"/>
    <w:rsid w:val="00093849"/>
    <w:rsid w:val="000A17B5"/>
    <w:rsid w:val="000F4F38"/>
    <w:rsid w:val="00113436"/>
    <w:rsid w:val="00140CE8"/>
    <w:rsid w:val="001533AA"/>
    <w:rsid w:val="001716A9"/>
    <w:rsid w:val="001A15EA"/>
    <w:rsid w:val="00212B23"/>
    <w:rsid w:val="002C0CB4"/>
    <w:rsid w:val="002D1090"/>
    <w:rsid w:val="00306FA7"/>
    <w:rsid w:val="00313019"/>
    <w:rsid w:val="00357F84"/>
    <w:rsid w:val="00365384"/>
    <w:rsid w:val="00374E4A"/>
    <w:rsid w:val="00375C7A"/>
    <w:rsid w:val="00381B95"/>
    <w:rsid w:val="00383047"/>
    <w:rsid w:val="003E3098"/>
    <w:rsid w:val="003E766C"/>
    <w:rsid w:val="00404695"/>
    <w:rsid w:val="004259D5"/>
    <w:rsid w:val="0043078F"/>
    <w:rsid w:val="00431D19"/>
    <w:rsid w:val="004464BB"/>
    <w:rsid w:val="00460DC2"/>
    <w:rsid w:val="00465325"/>
    <w:rsid w:val="00467DE7"/>
    <w:rsid w:val="00485E7A"/>
    <w:rsid w:val="0049679C"/>
    <w:rsid w:val="004D151E"/>
    <w:rsid w:val="004D76FD"/>
    <w:rsid w:val="004F4B00"/>
    <w:rsid w:val="005052F5"/>
    <w:rsid w:val="00531A55"/>
    <w:rsid w:val="00587BC3"/>
    <w:rsid w:val="005B61A9"/>
    <w:rsid w:val="005E6857"/>
    <w:rsid w:val="00602047"/>
    <w:rsid w:val="00633388"/>
    <w:rsid w:val="006401A5"/>
    <w:rsid w:val="0067659B"/>
    <w:rsid w:val="00680206"/>
    <w:rsid w:val="006C1F53"/>
    <w:rsid w:val="0070461D"/>
    <w:rsid w:val="0072073A"/>
    <w:rsid w:val="00723937"/>
    <w:rsid w:val="00743252"/>
    <w:rsid w:val="0074375E"/>
    <w:rsid w:val="007E3CB0"/>
    <w:rsid w:val="007E7EEA"/>
    <w:rsid w:val="00800E5D"/>
    <w:rsid w:val="0083025D"/>
    <w:rsid w:val="00841309"/>
    <w:rsid w:val="00853403"/>
    <w:rsid w:val="00863446"/>
    <w:rsid w:val="008B2AE1"/>
    <w:rsid w:val="008E1074"/>
    <w:rsid w:val="0096079E"/>
    <w:rsid w:val="00996526"/>
    <w:rsid w:val="009A570E"/>
    <w:rsid w:val="009C1C5D"/>
    <w:rsid w:val="009C61A3"/>
    <w:rsid w:val="009E24FF"/>
    <w:rsid w:val="00A17B2A"/>
    <w:rsid w:val="00A457B8"/>
    <w:rsid w:val="00A60C36"/>
    <w:rsid w:val="00A6701A"/>
    <w:rsid w:val="00A86816"/>
    <w:rsid w:val="00A96D92"/>
    <w:rsid w:val="00AD4360"/>
    <w:rsid w:val="00B03AAF"/>
    <w:rsid w:val="00B10AE3"/>
    <w:rsid w:val="00B5507D"/>
    <w:rsid w:val="00B740B4"/>
    <w:rsid w:val="00B877BD"/>
    <w:rsid w:val="00B90DDF"/>
    <w:rsid w:val="00BA2E69"/>
    <w:rsid w:val="00BC211B"/>
    <w:rsid w:val="00BD02BC"/>
    <w:rsid w:val="00BF6C14"/>
    <w:rsid w:val="00C9464F"/>
    <w:rsid w:val="00CB21F4"/>
    <w:rsid w:val="00CC6862"/>
    <w:rsid w:val="00CF678F"/>
    <w:rsid w:val="00D26683"/>
    <w:rsid w:val="00D30F48"/>
    <w:rsid w:val="00D57BCC"/>
    <w:rsid w:val="00D960EC"/>
    <w:rsid w:val="00DE37E2"/>
    <w:rsid w:val="00E1112F"/>
    <w:rsid w:val="00E37ABC"/>
    <w:rsid w:val="00E53761"/>
    <w:rsid w:val="00E55D6F"/>
    <w:rsid w:val="00E700B3"/>
    <w:rsid w:val="00E77B57"/>
    <w:rsid w:val="00E90C47"/>
    <w:rsid w:val="00EA6569"/>
    <w:rsid w:val="00EB42DB"/>
    <w:rsid w:val="00F4488A"/>
    <w:rsid w:val="00F519C3"/>
    <w:rsid w:val="00F6376B"/>
    <w:rsid w:val="00F8523B"/>
    <w:rsid w:val="00FC0EDF"/>
    <w:rsid w:val="00FD0DD0"/>
    <w:rsid w:val="00FD67D9"/>
    <w:rsid w:val="00FE0B2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F51A"/>
  <w15:chartTrackingRefBased/>
  <w15:docId w15:val="{F302A8D0-FC04-427F-A5D1-CF6B58D1A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BCC"/>
  </w:style>
  <w:style w:type="paragraph" w:styleId="Heading3">
    <w:name w:val="heading 3"/>
    <w:basedOn w:val="Normal"/>
    <w:next w:val="Normal"/>
    <w:link w:val="Heading3Char"/>
    <w:uiPriority w:val="9"/>
    <w:semiHidden/>
    <w:unhideWhenUsed/>
    <w:qFormat/>
    <w:rsid w:val="006333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0B29"/>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740B4"/>
    <w:pPr>
      <w:spacing w:line="240" w:lineRule="auto"/>
    </w:pPr>
    <w:rPr>
      <w:sz w:val="20"/>
      <w:szCs w:val="20"/>
    </w:rPr>
  </w:style>
  <w:style w:type="character" w:customStyle="1" w:styleId="CommentTextChar">
    <w:name w:val="Comment Text Char"/>
    <w:basedOn w:val="DefaultParagraphFont"/>
    <w:link w:val="CommentText"/>
    <w:uiPriority w:val="99"/>
    <w:semiHidden/>
    <w:rsid w:val="00B740B4"/>
    <w:rPr>
      <w:sz w:val="20"/>
      <w:szCs w:val="20"/>
    </w:rPr>
  </w:style>
  <w:style w:type="character" w:styleId="CommentReference">
    <w:name w:val="annotation reference"/>
    <w:basedOn w:val="DefaultParagraphFont"/>
    <w:uiPriority w:val="99"/>
    <w:semiHidden/>
    <w:unhideWhenUsed/>
    <w:rsid w:val="00B740B4"/>
    <w:rPr>
      <w:sz w:val="16"/>
      <w:szCs w:val="16"/>
    </w:rPr>
  </w:style>
  <w:style w:type="paragraph" w:styleId="FootnoteText">
    <w:name w:val="footnote text"/>
    <w:basedOn w:val="Normal"/>
    <w:link w:val="FootnoteTextChar"/>
    <w:uiPriority w:val="99"/>
    <w:semiHidden/>
    <w:unhideWhenUsed/>
    <w:rsid w:val="000A17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17B5"/>
    <w:rPr>
      <w:sz w:val="20"/>
      <w:szCs w:val="20"/>
    </w:rPr>
  </w:style>
  <w:style w:type="character" w:styleId="FootnoteReference">
    <w:name w:val="footnote reference"/>
    <w:basedOn w:val="DefaultParagraphFont"/>
    <w:uiPriority w:val="99"/>
    <w:semiHidden/>
    <w:unhideWhenUsed/>
    <w:rsid w:val="000A17B5"/>
    <w:rPr>
      <w:vertAlign w:val="superscript"/>
    </w:rPr>
  </w:style>
  <w:style w:type="paragraph" w:styleId="Bibliography">
    <w:name w:val="Bibliography"/>
    <w:basedOn w:val="Normal"/>
    <w:next w:val="Normal"/>
    <w:uiPriority w:val="37"/>
    <w:unhideWhenUsed/>
    <w:rsid w:val="009C61A3"/>
  </w:style>
  <w:style w:type="character" w:styleId="Hyperlink">
    <w:name w:val="Hyperlink"/>
    <w:basedOn w:val="DefaultParagraphFont"/>
    <w:uiPriority w:val="99"/>
    <w:unhideWhenUsed/>
    <w:rsid w:val="009A570E"/>
    <w:rPr>
      <w:color w:val="0563C1" w:themeColor="hyperlink"/>
      <w:u w:val="single"/>
    </w:rPr>
  </w:style>
  <w:style w:type="character" w:styleId="UnresolvedMention">
    <w:name w:val="Unresolved Mention"/>
    <w:basedOn w:val="DefaultParagraphFont"/>
    <w:uiPriority w:val="99"/>
    <w:semiHidden/>
    <w:unhideWhenUsed/>
    <w:rsid w:val="009A570E"/>
    <w:rPr>
      <w:color w:val="605E5C"/>
      <w:shd w:val="clear" w:color="auto" w:fill="E1DFDD"/>
    </w:rPr>
  </w:style>
  <w:style w:type="character" w:styleId="FollowedHyperlink">
    <w:name w:val="FollowedHyperlink"/>
    <w:basedOn w:val="DefaultParagraphFont"/>
    <w:uiPriority w:val="99"/>
    <w:semiHidden/>
    <w:unhideWhenUsed/>
    <w:rsid w:val="009A570E"/>
    <w:rPr>
      <w:color w:val="954F72" w:themeColor="followedHyperlink"/>
      <w:u w:val="single"/>
    </w:rPr>
  </w:style>
  <w:style w:type="paragraph" w:styleId="Caption">
    <w:name w:val="caption"/>
    <w:basedOn w:val="Normal"/>
    <w:next w:val="Normal"/>
    <w:link w:val="CaptionChar"/>
    <w:uiPriority w:val="35"/>
    <w:unhideWhenUsed/>
    <w:qFormat/>
    <w:rsid w:val="00357F84"/>
    <w:pPr>
      <w:spacing w:after="200" w:line="240" w:lineRule="auto"/>
    </w:pPr>
    <w:rPr>
      <w:i/>
      <w:iCs/>
      <w:color w:val="44546A" w:themeColor="text2"/>
      <w:sz w:val="18"/>
      <w:szCs w:val="18"/>
    </w:rPr>
  </w:style>
  <w:style w:type="character" w:customStyle="1" w:styleId="CaptionChar">
    <w:name w:val="Caption Char"/>
    <w:basedOn w:val="DefaultParagraphFont"/>
    <w:link w:val="Caption"/>
    <w:uiPriority w:val="35"/>
    <w:rsid w:val="00A457B8"/>
    <w:rPr>
      <w:i/>
      <w:iCs/>
      <w:color w:val="44546A" w:themeColor="text2"/>
      <w:sz w:val="18"/>
      <w:szCs w:val="18"/>
    </w:rPr>
  </w:style>
  <w:style w:type="paragraph" w:customStyle="1" w:styleId="CaptionAdditionalText">
    <w:name w:val="Caption Additional Text"/>
    <w:basedOn w:val="Caption"/>
    <w:link w:val="CaptionAdditionalTextChar"/>
    <w:qFormat/>
    <w:rsid w:val="00A457B8"/>
    <w:pPr>
      <w:spacing w:after="0"/>
      <w:ind w:left="1134" w:right="-284"/>
      <w:jc w:val="both"/>
    </w:pPr>
    <w:rPr>
      <w:rFonts w:ascii="Arial" w:hAnsi="Arial" w:cs="Arial"/>
      <w:b/>
      <w:i w:val="0"/>
      <w:iCs w:val="0"/>
      <w:szCs w:val="20"/>
    </w:rPr>
  </w:style>
  <w:style w:type="character" w:customStyle="1" w:styleId="CaptionAdditionalTextChar">
    <w:name w:val="Caption Additional Text Char"/>
    <w:basedOn w:val="CaptionChar"/>
    <w:link w:val="CaptionAdditionalText"/>
    <w:rsid w:val="00A457B8"/>
    <w:rPr>
      <w:rFonts w:ascii="Arial" w:hAnsi="Arial" w:cs="Arial"/>
      <w:b/>
      <w:i w:val="0"/>
      <w:iCs w:val="0"/>
      <w:color w:val="44546A" w:themeColor="text2"/>
      <w:sz w:val="18"/>
      <w:szCs w:val="20"/>
    </w:rPr>
  </w:style>
  <w:style w:type="paragraph" w:styleId="Header">
    <w:name w:val="header"/>
    <w:basedOn w:val="Normal"/>
    <w:link w:val="HeaderChar"/>
    <w:uiPriority w:val="99"/>
    <w:unhideWhenUsed/>
    <w:rsid w:val="00EA65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569"/>
  </w:style>
  <w:style w:type="paragraph" w:styleId="Footer">
    <w:name w:val="footer"/>
    <w:basedOn w:val="Normal"/>
    <w:link w:val="FooterChar"/>
    <w:uiPriority w:val="99"/>
    <w:unhideWhenUsed/>
    <w:rsid w:val="00EA6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569"/>
  </w:style>
  <w:style w:type="character" w:customStyle="1" w:styleId="Heading4Char">
    <w:name w:val="Heading 4 Char"/>
    <w:basedOn w:val="DefaultParagraphFont"/>
    <w:link w:val="Heading4"/>
    <w:uiPriority w:val="9"/>
    <w:semiHidden/>
    <w:rsid w:val="00FE0B29"/>
    <w:rPr>
      <w:rFonts w:eastAsiaTheme="majorEastAsia" w:cstheme="majorBidi"/>
      <w:i/>
      <w:iCs/>
      <w:color w:val="2F5496" w:themeColor="accent1" w:themeShade="BF"/>
    </w:rPr>
  </w:style>
  <w:style w:type="character" w:customStyle="1" w:styleId="toptext">
    <w:name w:val="top__text"/>
    <w:basedOn w:val="DefaultParagraphFont"/>
    <w:rsid w:val="00FE0B29"/>
  </w:style>
  <w:style w:type="character" w:customStyle="1" w:styleId="Heading3Char">
    <w:name w:val="Heading 3 Char"/>
    <w:basedOn w:val="DefaultParagraphFont"/>
    <w:link w:val="Heading3"/>
    <w:uiPriority w:val="9"/>
    <w:semiHidden/>
    <w:rsid w:val="00633388"/>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762956">
      <w:bodyDiv w:val="1"/>
      <w:marLeft w:val="0"/>
      <w:marRight w:val="0"/>
      <w:marTop w:val="0"/>
      <w:marBottom w:val="0"/>
      <w:divBdr>
        <w:top w:val="none" w:sz="0" w:space="0" w:color="auto"/>
        <w:left w:val="none" w:sz="0" w:space="0" w:color="auto"/>
        <w:bottom w:val="none" w:sz="0" w:space="0" w:color="auto"/>
        <w:right w:val="none" w:sz="0" w:space="0" w:color="auto"/>
      </w:divBdr>
    </w:div>
    <w:div w:id="1550805220">
      <w:bodyDiv w:val="1"/>
      <w:marLeft w:val="0"/>
      <w:marRight w:val="0"/>
      <w:marTop w:val="0"/>
      <w:marBottom w:val="0"/>
      <w:divBdr>
        <w:top w:val="none" w:sz="0" w:space="0" w:color="auto"/>
        <w:left w:val="none" w:sz="0" w:space="0" w:color="auto"/>
        <w:bottom w:val="none" w:sz="0" w:space="0" w:color="auto"/>
        <w:right w:val="none" w:sz="0" w:space="0" w:color="auto"/>
      </w:divBdr>
    </w:div>
    <w:div w:id="2054965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png"/><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3264</TotalTime>
  <Pages>15</Pages>
  <Words>1635</Words>
  <Characters>9058</Characters>
  <Application>Microsoft Office Word</Application>
  <DocSecurity>0</DocSecurity>
  <Lines>201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Egbase, Daniel</dc:creator>
  <cp:keywords/>
  <dc:description/>
  <cp:lastModifiedBy>Paul Caton</cp:lastModifiedBy>
  <cp:revision>76</cp:revision>
  <cp:lastPrinted>2025-04-24T12:20:00Z</cp:lastPrinted>
  <dcterms:created xsi:type="dcterms:W3CDTF">2022-08-10T11:36:00Z</dcterms:created>
  <dcterms:modified xsi:type="dcterms:W3CDTF">2026-02-12T12:59:00Z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id="uNq1S2iW"/&gt;&lt;style id="http://www.zotero.org/styles/vancouver" locale="en-US" hasBibliography="1" bibliographyStyleHasBeenSet="1"/&gt;&lt;prefs&gt;&lt;pref name="fieldType" value="Field"/&gt;&lt;/prefs&gt;&lt;/data&gt;</vt:lpwstr>
  </property>
</Properties>
</file>