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B67" w:rsidRDefault="00E33B67" w:rsidP="00E33B67">
      <w:pPr>
        <w:jc w:val="center"/>
        <w:rPr>
          <w:rFonts w:asciiTheme="majorBidi" w:hAnsiTheme="majorBidi" w:cstheme="majorBidi"/>
          <w:b/>
          <w:bCs/>
          <w:sz w:val="36"/>
          <w:szCs w:val="36"/>
        </w:rPr>
      </w:pPr>
      <w:r w:rsidRPr="00CD48A4">
        <w:rPr>
          <w:rFonts w:asciiTheme="majorBidi" w:hAnsiTheme="majorBidi" w:cstheme="majorBidi"/>
          <w:b/>
          <w:bCs/>
          <w:sz w:val="36"/>
          <w:szCs w:val="36"/>
        </w:rPr>
        <w:t>Supplementary information for</w:t>
      </w:r>
    </w:p>
    <w:p w:rsidR="00E33B67" w:rsidRDefault="00E33B67" w:rsidP="00E33B67">
      <w:pPr>
        <w:jc w:val="center"/>
        <w:rPr>
          <w:rFonts w:asciiTheme="majorBidi" w:hAnsiTheme="majorBidi" w:cstheme="majorBidi"/>
          <w:b/>
          <w:bCs/>
          <w:sz w:val="36"/>
          <w:szCs w:val="36"/>
        </w:rPr>
      </w:pPr>
    </w:p>
    <w:p w:rsidR="00E33B67" w:rsidRDefault="00E33B67" w:rsidP="00E33B67">
      <w:pPr>
        <w:pStyle w:val="Title"/>
        <w:spacing w:line="480" w:lineRule="auto"/>
        <w:jc w:val="center"/>
      </w:pPr>
      <w:r w:rsidRPr="00FF5E4E">
        <w:t>Drone-</w:t>
      </w:r>
      <w:r>
        <w:t>measured</w:t>
      </w:r>
      <w:r w:rsidRPr="00FF5E4E">
        <w:t xml:space="preserve"> canopy </w:t>
      </w:r>
      <w:r>
        <w:t>spectra</w:t>
      </w:r>
      <w:r w:rsidRPr="00FF5E4E">
        <w:t xml:space="preserve"> </w:t>
      </w:r>
      <w:r>
        <w:t>can be a complementary predictor</w:t>
      </w:r>
      <w:r w:rsidRPr="00FF5E4E">
        <w:t xml:space="preserve"> </w:t>
      </w:r>
      <w:r>
        <w:t xml:space="preserve">of </w:t>
      </w:r>
      <w:r w:rsidRPr="00FF5E4E">
        <w:t xml:space="preserve">belowground </w:t>
      </w:r>
      <w:proofErr w:type="spellStart"/>
      <w:r w:rsidRPr="00FF5E4E">
        <w:t>arbuscular</w:t>
      </w:r>
      <w:proofErr w:type="spellEnd"/>
      <w:r w:rsidRPr="00FF5E4E">
        <w:t xml:space="preserve"> </w:t>
      </w:r>
      <w:proofErr w:type="spellStart"/>
      <w:r w:rsidRPr="00FF5E4E">
        <w:t>mycorrhizal</w:t>
      </w:r>
      <w:proofErr w:type="spellEnd"/>
      <w:r w:rsidRPr="00FF5E4E">
        <w:t xml:space="preserve"> fungi </w:t>
      </w:r>
      <w:r>
        <w:t xml:space="preserve">variations </w:t>
      </w:r>
      <w:r w:rsidRPr="00FF5E4E">
        <w:t xml:space="preserve">in urban </w:t>
      </w:r>
      <w:r>
        <w:t xml:space="preserve">community </w:t>
      </w:r>
      <w:r w:rsidRPr="00FF5E4E">
        <w:t>gardens</w:t>
      </w:r>
    </w:p>
    <w:p w:rsidR="00E33B67" w:rsidRPr="00E33B67" w:rsidRDefault="00E33B67" w:rsidP="00E33B67">
      <w:pPr>
        <w:spacing w:line="480" w:lineRule="auto"/>
        <w:jc w:val="center"/>
        <w:rPr>
          <w:rFonts w:asciiTheme="majorBidi" w:hAnsiTheme="majorBidi" w:cstheme="majorBidi"/>
          <w:lang w:val="es-ES"/>
        </w:rPr>
      </w:pPr>
      <w:r w:rsidRPr="00E33B67">
        <w:rPr>
          <w:rFonts w:asciiTheme="majorBidi" w:hAnsiTheme="majorBidi" w:cstheme="majorBidi"/>
          <w:lang w:val="es-ES"/>
        </w:rPr>
        <w:t>Yasamin Afrasiabian</w:t>
      </w:r>
      <w:r w:rsidRPr="00E33B67">
        <w:rPr>
          <w:rFonts w:asciiTheme="majorBidi" w:hAnsiTheme="majorBidi" w:cstheme="majorBidi"/>
          <w:vertAlign w:val="superscript"/>
          <w:lang w:val="es-ES"/>
        </w:rPr>
        <w:t>1</w:t>
      </w:r>
      <w:r w:rsidRPr="00E33B67">
        <w:rPr>
          <w:rFonts w:asciiTheme="majorBidi" w:hAnsiTheme="majorBidi" w:cstheme="majorBidi"/>
          <w:lang w:val="es-ES"/>
        </w:rPr>
        <w:t>, Diana Rocío Andrade-Linares</w:t>
      </w:r>
      <w:r w:rsidRPr="00E33B67">
        <w:rPr>
          <w:rFonts w:asciiTheme="majorBidi" w:hAnsiTheme="majorBidi" w:cstheme="majorBidi"/>
          <w:vertAlign w:val="superscript"/>
          <w:lang w:val="es-ES"/>
        </w:rPr>
        <w:t>2,5</w:t>
      </w:r>
      <w:r w:rsidRPr="00E33B67">
        <w:rPr>
          <w:rFonts w:asciiTheme="majorBidi" w:hAnsiTheme="majorBidi" w:cstheme="majorBidi"/>
          <w:lang w:val="de-DE"/>
        </w:rPr>
        <w:t>, Stefanie Schulz</w:t>
      </w:r>
      <w:r w:rsidRPr="00E33B67">
        <w:rPr>
          <w:rFonts w:asciiTheme="majorBidi" w:hAnsiTheme="majorBidi" w:cstheme="majorBidi"/>
          <w:vertAlign w:val="superscript"/>
          <w:lang w:val="de-DE"/>
        </w:rPr>
        <w:t>2</w:t>
      </w:r>
      <w:r w:rsidRPr="00E33B67">
        <w:rPr>
          <w:rFonts w:asciiTheme="majorBidi" w:hAnsiTheme="majorBidi" w:cstheme="majorBidi"/>
          <w:lang w:val="de-DE"/>
        </w:rPr>
        <w:t>, Michael Schloter</w:t>
      </w:r>
      <w:r w:rsidRPr="00E33B67">
        <w:rPr>
          <w:rFonts w:asciiTheme="majorBidi" w:hAnsiTheme="majorBidi" w:cstheme="majorBidi"/>
          <w:vertAlign w:val="superscript"/>
          <w:lang w:val="de-DE"/>
        </w:rPr>
        <w:t>2</w:t>
      </w:r>
      <w:r w:rsidRPr="00E33B67">
        <w:rPr>
          <w:rFonts w:asciiTheme="majorBidi" w:hAnsiTheme="majorBidi" w:cstheme="majorBidi"/>
          <w:lang w:val="es-ES"/>
        </w:rPr>
        <w:t>, Elisa Van Cleemput</w:t>
      </w:r>
      <w:r w:rsidRPr="00E33B67">
        <w:rPr>
          <w:rFonts w:asciiTheme="majorBidi" w:hAnsiTheme="majorBidi" w:cstheme="majorBidi"/>
          <w:vertAlign w:val="superscript"/>
          <w:lang w:val="es-ES"/>
        </w:rPr>
        <w:t>3</w:t>
      </w:r>
      <w:r w:rsidRPr="00E33B67">
        <w:rPr>
          <w:rFonts w:asciiTheme="majorBidi" w:hAnsiTheme="majorBidi" w:cstheme="majorBidi"/>
          <w:lang w:val="es-ES"/>
        </w:rPr>
        <w:t>, Monika Egerer</w:t>
      </w:r>
      <w:r w:rsidRPr="00E33B67">
        <w:rPr>
          <w:rFonts w:asciiTheme="majorBidi" w:hAnsiTheme="majorBidi" w:cstheme="majorBidi"/>
          <w:vertAlign w:val="superscript"/>
          <w:lang w:val="es-ES"/>
        </w:rPr>
        <w:t>4</w:t>
      </w:r>
      <w:r w:rsidRPr="00E33B67">
        <w:rPr>
          <w:rFonts w:asciiTheme="majorBidi" w:hAnsiTheme="majorBidi" w:cstheme="majorBidi"/>
          <w:lang w:val="es-ES"/>
        </w:rPr>
        <w:t>, Kang Yu</w:t>
      </w:r>
      <w:proofErr w:type="gramStart"/>
      <w:r w:rsidRPr="00E33B67">
        <w:rPr>
          <w:rFonts w:asciiTheme="majorBidi" w:hAnsiTheme="majorBidi" w:cstheme="majorBidi"/>
          <w:vertAlign w:val="superscript"/>
          <w:lang w:val="es-ES"/>
        </w:rPr>
        <w:t>1,*</w:t>
      </w:r>
      <w:proofErr w:type="gramEnd"/>
    </w:p>
    <w:p w:rsidR="00E33B67" w:rsidRPr="00E33B67" w:rsidRDefault="00E33B67" w:rsidP="00E33B67">
      <w:pPr>
        <w:spacing w:line="240" w:lineRule="auto"/>
        <w:rPr>
          <w:rFonts w:asciiTheme="majorBidi" w:hAnsiTheme="majorBidi" w:cstheme="majorBidi"/>
          <w:sz w:val="20"/>
          <w:szCs w:val="20"/>
          <w:lang w:val="en-US"/>
        </w:rPr>
      </w:pPr>
      <w:r w:rsidRPr="00E33B67">
        <w:rPr>
          <w:rFonts w:asciiTheme="majorBidi" w:hAnsiTheme="majorBidi" w:cstheme="majorBidi"/>
          <w:vertAlign w:val="superscript"/>
          <w:lang w:val="en-US"/>
        </w:rPr>
        <w:t>1</w:t>
      </w:r>
      <w:r w:rsidRPr="00E33B67">
        <w:rPr>
          <w:rFonts w:asciiTheme="majorBidi" w:hAnsiTheme="majorBidi" w:cstheme="majorBidi"/>
          <w:lang w:val="en-US"/>
        </w:rPr>
        <w:t xml:space="preserve"> </w:t>
      </w:r>
      <w:r w:rsidRPr="00E33B67">
        <w:rPr>
          <w:rFonts w:asciiTheme="majorBidi" w:hAnsiTheme="majorBidi" w:cstheme="majorBidi"/>
          <w:sz w:val="20"/>
          <w:szCs w:val="20"/>
          <w:lang w:val="en-US"/>
        </w:rPr>
        <w:t xml:space="preserve">Precision Agriculture Lab, TUM School of Life Sciences, Technical University of Munich, </w:t>
      </w:r>
      <w:proofErr w:type="spellStart"/>
      <w:r w:rsidRPr="00E33B67">
        <w:rPr>
          <w:rFonts w:asciiTheme="majorBidi" w:hAnsiTheme="majorBidi" w:cstheme="majorBidi"/>
          <w:sz w:val="20"/>
          <w:szCs w:val="20"/>
          <w:lang w:val="en-US"/>
        </w:rPr>
        <w:t>Dürnast</w:t>
      </w:r>
      <w:proofErr w:type="spellEnd"/>
      <w:r w:rsidRPr="00E33B67">
        <w:rPr>
          <w:rFonts w:asciiTheme="majorBidi" w:hAnsiTheme="majorBidi" w:cstheme="majorBidi"/>
          <w:sz w:val="20"/>
          <w:szCs w:val="20"/>
          <w:lang w:val="en-US"/>
        </w:rPr>
        <w:t xml:space="preserve"> 9, 85354 </w:t>
      </w:r>
      <w:proofErr w:type="spellStart"/>
      <w:r w:rsidRPr="00E33B67">
        <w:rPr>
          <w:rFonts w:asciiTheme="majorBidi" w:hAnsiTheme="majorBidi" w:cstheme="majorBidi"/>
          <w:sz w:val="20"/>
          <w:szCs w:val="20"/>
          <w:lang w:val="en-US"/>
        </w:rPr>
        <w:t>Freising</w:t>
      </w:r>
      <w:proofErr w:type="spellEnd"/>
      <w:r w:rsidRPr="00E33B67">
        <w:rPr>
          <w:rFonts w:asciiTheme="majorBidi" w:hAnsiTheme="majorBidi" w:cstheme="majorBidi"/>
          <w:sz w:val="20"/>
          <w:szCs w:val="20"/>
          <w:lang w:val="en-US"/>
        </w:rPr>
        <w:t>, Germany</w:t>
      </w:r>
    </w:p>
    <w:p w:rsidR="00E33B67" w:rsidRPr="00E33B67" w:rsidRDefault="00E33B67" w:rsidP="00E33B67">
      <w:pPr>
        <w:spacing w:line="240" w:lineRule="auto"/>
        <w:rPr>
          <w:rFonts w:asciiTheme="majorBidi" w:hAnsiTheme="majorBidi" w:cstheme="majorBidi"/>
          <w:sz w:val="20"/>
          <w:szCs w:val="20"/>
          <w:lang w:val="de-DE"/>
        </w:rPr>
      </w:pPr>
      <w:r w:rsidRPr="00E33B67">
        <w:rPr>
          <w:rFonts w:asciiTheme="majorBidi" w:hAnsiTheme="majorBidi" w:cstheme="majorBidi"/>
          <w:vertAlign w:val="superscript"/>
          <w:lang w:val="de-DE"/>
        </w:rPr>
        <w:t xml:space="preserve">2 </w:t>
      </w:r>
      <w:r w:rsidRPr="00E33B67">
        <w:rPr>
          <w:rFonts w:asciiTheme="majorBidi" w:hAnsiTheme="majorBidi" w:cstheme="majorBidi"/>
          <w:sz w:val="20"/>
          <w:szCs w:val="20"/>
          <w:lang w:val="de-DE"/>
        </w:rPr>
        <w:t xml:space="preserve">Research Unit </w:t>
      </w:r>
      <w:proofErr w:type="spellStart"/>
      <w:r w:rsidRPr="00E33B67">
        <w:rPr>
          <w:rFonts w:asciiTheme="majorBidi" w:hAnsiTheme="majorBidi" w:cstheme="majorBidi"/>
          <w:sz w:val="20"/>
          <w:szCs w:val="20"/>
          <w:lang w:val="de-DE"/>
        </w:rPr>
        <w:t>Comparative</w:t>
      </w:r>
      <w:proofErr w:type="spellEnd"/>
      <w:r w:rsidRPr="00E33B67">
        <w:rPr>
          <w:rFonts w:asciiTheme="majorBidi" w:hAnsiTheme="majorBidi" w:cstheme="majorBidi"/>
          <w:sz w:val="20"/>
          <w:szCs w:val="20"/>
          <w:lang w:val="de-DE"/>
        </w:rPr>
        <w:t xml:space="preserve"> </w:t>
      </w:r>
      <w:proofErr w:type="spellStart"/>
      <w:r w:rsidRPr="00E33B67">
        <w:rPr>
          <w:rFonts w:asciiTheme="majorBidi" w:hAnsiTheme="majorBidi" w:cstheme="majorBidi"/>
          <w:sz w:val="20"/>
          <w:szCs w:val="20"/>
          <w:lang w:val="de-DE"/>
        </w:rPr>
        <w:t>Microbiome</w:t>
      </w:r>
      <w:proofErr w:type="spellEnd"/>
      <w:r w:rsidRPr="00E33B67">
        <w:rPr>
          <w:rFonts w:asciiTheme="majorBidi" w:hAnsiTheme="majorBidi" w:cstheme="majorBidi"/>
          <w:sz w:val="20"/>
          <w:szCs w:val="20"/>
          <w:lang w:val="de-DE"/>
        </w:rPr>
        <w:t xml:space="preserve"> Analysis, Helmholtz Zentrum München, </w:t>
      </w:r>
      <w:proofErr w:type="spellStart"/>
      <w:r w:rsidRPr="00E33B67">
        <w:rPr>
          <w:rFonts w:asciiTheme="majorBidi" w:hAnsiTheme="majorBidi" w:cstheme="majorBidi"/>
          <w:sz w:val="20"/>
          <w:szCs w:val="20"/>
          <w:lang w:val="de-DE"/>
        </w:rPr>
        <w:t>Ingolstaedter</w:t>
      </w:r>
      <w:proofErr w:type="spellEnd"/>
      <w:r w:rsidRPr="00E33B67">
        <w:rPr>
          <w:rFonts w:asciiTheme="majorBidi" w:hAnsiTheme="majorBidi" w:cstheme="majorBidi"/>
          <w:sz w:val="20"/>
          <w:szCs w:val="20"/>
          <w:lang w:val="de-DE"/>
        </w:rPr>
        <w:t xml:space="preserve"> Landstraße 1, D-85764, Neuherberg, Germany </w:t>
      </w:r>
    </w:p>
    <w:p w:rsidR="00E33B67" w:rsidRPr="00E33B67" w:rsidRDefault="00E33B67" w:rsidP="00E33B67">
      <w:pPr>
        <w:spacing w:line="240" w:lineRule="auto"/>
        <w:rPr>
          <w:rFonts w:asciiTheme="majorBidi" w:hAnsiTheme="majorBidi" w:cstheme="majorBidi"/>
          <w:sz w:val="20"/>
          <w:szCs w:val="20"/>
          <w:lang w:val="en-US"/>
        </w:rPr>
      </w:pPr>
      <w:proofErr w:type="gramStart"/>
      <w:r w:rsidRPr="00E33B67">
        <w:rPr>
          <w:rFonts w:asciiTheme="majorBidi" w:hAnsiTheme="majorBidi" w:cstheme="majorBidi"/>
          <w:vertAlign w:val="superscript"/>
          <w:lang w:val="en-US"/>
        </w:rPr>
        <w:t xml:space="preserve">3  </w:t>
      </w:r>
      <w:r w:rsidRPr="00E33B67">
        <w:rPr>
          <w:rFonts w:asciiTheme="majorBidi" w:hAnsiTheme="majorBidi" w:cstheme="majorBidi"/>
          <w:sz w:val="20"/>
          <w:szCs w:val="20"/>
          <w:lang w:val="en-US"/>
        </w:rPr>
        <w:t>Leiden</w:t>
      </w:r>
      <w:proofErr w:type="gramEnd"/>
      <w:r w:rsidRPr="00E33B67">
        <w:rPr>
          <w:rFonts w:asciiTheme="majorBidi" w:hAnsiTheme="majorBidi" w:cstheme="majorBidi"/>
          <w:sz w:val="20"/>
          <w:szCs w:val="20"/>
          <w:lang w:val="en-US"/>
        </w:rPr>
        <w:t xml:space="preserve"> University College The Hague, Leiden University, Anna van </w:t>
      </w:r>
      <w:proofErr w:type="spellStart"/>
      <w:r w:rsidRPr="00E33B67">
        <w:rPr>
          <w:rFonts w:asciiTheme="majorBidi" w:hAnsiTheme="majorBidi" w:cstheme="majorBidi"/>
          <w:sz w:val="20"/>
          <w:szCs w:val="20"/>
          <w:lang w:val="en-US"/>
        </w:rPr>
        <w:t>Buerenplein</w:t>
      </w:r>
      <w:proofErr w:type="spellEnd"/>
      <w:r w:rsidRPr="00E33B67">
        <w:rPr>
          <w:rFonts w:asciiTheme="majorBidi" w:hAnsiTheme="majorBidi" w:cstheme="majorBidi"/>
          <w:sz w:val="20"/>
          <w:szCs w:val="20"/>
          <w:lang w:val="en-US"/>
        </w:rPr>
        <w:t xml:space="preserve"> 301, 2595 DG Den Haag, The Netherlands.</w:t>
      </w:r>
    </w:p>
    <w:p w:rsidR="00E33B67" w:rsidRPr="00E33B67" w:rsidRDefault="00E33B67" w:rsidP="00E33B67">
      <w:pPr>
        <w:spacing w:line="240" w:lineRule="auto"/>
        <w:rPr>
          <w:rFonts w:asciiTheme="majorBidi" w:hAnsiTheme="majorBidi" w:cstheme="majorBidi"/>
          <w:sz w:val="20"/>
          <w:szCs w:val="20"/>
          <w:lang w:val="en-US"/>
        </w:rPr>
      </w:pPr>
      <w:r w:rsidRPr="00E33B67">
        <w:rPr>
          <w:rFonts w:asciiTheme="majorBidi" w:hAnsiTheme="majorBidi" w:cstheme="majorBidi"/>
          <w:vertAlign w:val="superscript"/>
          <w:lang w:val="en-US"/>
        </w:rPr>
        <w:t>4</w:t>
      </w:r>
      <w:r w:rsidRPr="00E33B67">
        <w:rPr>
          <w:rFonts w:asciiTheme="majorBidi" w:hAnsiTheme="majorBidi" w:cstheme="majorBidi"/>
          <w:lang w:val="en-US"/>
        </w:rPr>
        <w:t xml:space="preserve"> </w:t>
      </w:r>
      <w:r w:rsidRPr="00E33B67">
        <w:rPr>
          <w:rFonts w:asciiTheme="majorBidi" w:hAnsiTheme="majorBidi" w:cstheme="majorBidi"/>
          <w:sz w:val="20"/>
          <w:szCs w:val="20"/>
          <w:lang w:val="en-US"/>
        </w:rPr>
        <w:t>Urban Productive Ecosystems, TUM School of Life Sciences, Technical University of Munich, Hans Carl-von-</w:t>
      </w:r>
      <w:proofErr w:type="spellStart"/>
      <w:r w:rsidRPr="00E33B67">
        <w:rPr>
          <w:rFonts w:asciiTheme="majorBidi" w:hAnsiTheme="majorBidi" w:cstheme="majorBidi"/>
          <w:sz w:val="20"/>
          <w:szCs w:val="20"/>
          <w:lang w:val="en-US"/>
        </w:rPr>
        <w:t>Carlowitz</w:t>
      </w:r>
      <w:proofErr w:type="spellEnd"/>
      <w:r w:rsidRPr="00E33B67">
        <w:rPr>
          <w:rFonts w:asciiTheme="majorBidi" w:hAnsiTheme="majorBidi" w:cstheme="majorBidi"/>
          <w:sz w:val="20"/>
          <w:szCs w:val="20"/>
          <w:lang w:val="en-US"/>
        </w:rPr>
        <w:t>-</w:t>
      </w:r>
      <w:proofErr w:type="spellStart"/>
      <w:r w:rsidRPr="00E33B67">
        <w:rPr>
          <w:rFonts w:asciiTheme="majorBidi" w:hAnsiTheme="majorBidi" w:cstheme="majorBidi"/>
          <w:sz w:val="20"/>
          <w:szCs w:val="20"/>
          <w:lang w:val="en-US"/>
        </w:rPr>
        <w:t>Platz</w:t>
      </w:r>
      <w:proofErr w:type="spellEnd"/>
      <w:r w:rsidRPr="00E33B67">
        <w:rPr>
          <w:rFonts w:asciiTheme="majorBidi" w:hAnsiTheme="majorBidi" w:cstheme="majorBidi"/>
          <w:sz w:val="20"/>
          <w:szCs w:val="20"/>
          <w:lang w:val="en-US"/>
        </w:rPr>
        <w:t xml:space="preserve"> 2, 85354 </w:t>
      </w:r>
      <w:proofErr w:type="spellStart"/>
      <w:r w:rsidRPr="00E33B67">
        <w:rPr>
          <w:rFonts w:asciiTheme="majorBidi" w:hAnsiTheme="majorBidi" w:cstheme="majorBidi"/>
          <w:sz w:val="20"/>
          <w:szCs w:val="20"/>
          <w:lang w:val="en-US"/>
        </w:rPr>
        <w:t>Freising</w:t>
      </w:r>
      <w:proofErr w:type="spellEnd"/>
      <w:r w:rsidRPr="00E33B67">
        <w:rPr>
          <w:rFonts w:asciiTheme="majorBidi" w:hAnsiTheme="majorBidi" w:cstheme="majorBidi"/>
          <w:sz w:val="20"/>
          <w:szCs w:val="20"/>
          <w:lang w:val="en-US"/>
        </w:rPr>
        <w:t>, Germany</w:t>
      </w:r>
    </w:p>
    <w:p w:rsidR="00E33B67" w:rsidRPr="00E33B67" w:rsidRDefault="00E33B67" w:rsidP="00E33B67">
      <w:pPr>
        <w:spacing w:line="240" w:lineRule="auto"/>
        <w:rPr>
          <w:rFonts w:asciiTheme="majorBidi" w:hAnsiTheme="majorBidi" w:cstheme="majorBidi"/>
          <w:sz w:val="20"/>
          <w:szCs w:val="20"/>
          <w:lang w:val="en-US"/>
        </w:rPr>
      </w:pPr>
      <w:proofErr w:type="gramStart"/>
      <w:r w:rsidRPr="00E33B67">
        <w:rPr>
          <w:rFonts w:asciiTheme="majorBidi" w:hAnsiTheme="majorBidi" w:cstheme="majorBidi"/>
          <w:sz w:val="20"/>
          <w:szCs w:val="20"/>
          <w:vertAlign w:val="superscript"/>
          <w:lang w:val="en-US"/>
        </w:rPr>
        <w:t>5</w:t>
      </w:r>
      <w:proofErr w:type="gramEnd"/>
      <w:r w:rsidRPr="00E33B67">
        <w:rPr>
          <w:rFonts w:asciiTheme="majorBidi" w:hAnsiTheme="majorBidi" w:cstheme="majorBidi"/>
          <w:sz w:val="20"/>
          <w:szCs w:val="20"/>
          <w:lang w:val="en-US"/>
        </w:rPr>
        <w:t xml:space="preserve"> Research Group of Environmental Microbiology, Biological Sciences Department, University of Limerick, Limerick, V94 T9PX, Ireland</w:t>
      </w:r>
    </w:p>
    <w:p w:rsidR="00E33B67" w:rsidRPr="00E33B67" w:rsidRDefault="00E33B67" w:rsidP="00E33B67">
      <w:pPr>
        <w:spacing w:line="240" w:lineRule="auto"/>
        <w:rPr>
          <w:rFonts w:asciiTheme="majorBidi" w:hAnsiTheme="majorBidi" w:cstheme="majorBidi"/>
          <w:sz w:val="20"/>
          <w:szCs w:val="20"/>
          <w:lang w:val="en-US"/>
        </w:rPr>
      </w:pPr>
      <w:r w:rsidRPr="00E33B67">
        <w:rPr>
          <w:rFonts w:asciiTheme="majorBidi" w:hAnsiTheme="majorBidi" w:cstheme="majorBidi"/>
          <w:b/>
          <w:bCs/>
          <w:sz w:val="20"/>
          <w:szCs w:val="20"/>
          <w:lang w:val="en-US"/>
        </w:rPr>
        <w:t xml:space="preserve">* </w:t>
      </w:r>
      <w:r w:rsidRPr="00E33B67">
        <w:rPr>
          <w:rFonts w:asciiTheme="majorBidi" w:hAnsiTheme="majorBidi" w:cstheme="majorBidi"/>
          <w:sz w:val="20"/>
          <w:szCs w:val="20"/>
          <w:lang w:val="en-US"/>
        </w:rPr>
        <w:t>Correspondence:</w:t>
      </w:r>
      <w:r w:rsidRPr="00E33B67">
        <w:rPr>
          <w:rFonts w:asciiTheme="majorBidi" w:hAnsiTheme="majorBidi" w:cstheme="majorBidi"/>
          <w:b/>
          <w:bCs/>
          <w:sz w:val="20"/>
          <w:szCs w:val="20"/>
          <w:lang w:val="en-US"/>
        </w:rPr>
        <w:t xml:space="preserve"> </w:t>
      </w:r>
      <w:r w:rsidRPr="00E33B67">
        <w:rPr>
          <w:rFonts w:asciiTheme="majorBidi" w:hAnsiTheme="majorBidi" w:cstheme="majorBidi"/>
          <w:sz w:val="20"/>
          <w:szCs w:val="20"/>
          <w:lang w:val="en-US"/>
        </w:rPr>
        <w:t xml:space="preserve">Kang Yu, TUM Precision Agriculture Lab, </w:t>
      </w:r>
      <w:proofErr w:type="spellStart"/>
      <w:r w:rsidRPr="00E33B67">
        <w:rPr>
          <w:rFonts w:asciiTheme="majorBidi" w:hAnsiTheme="majorBidi" w:cstheme="majorBidi"/>
          <w:sz w:val="20"/>
          <w:szCs w:val="20"/>
          <w:lang w:val="en-US"/>
        </w:rPr>
        <w:t>Dürnast</w:t>
      </w:r>
      <w:proofErr w:type="spellEnd"/>
      <w:r w:rsidRPr="00E33B67">
        <w:rPr>
          <w:rFonts w:asciiTheme="majorBidi" w:hAnsiTheme="majorBidi" w:cstheme="majorBidi"/>
          <w:sz w:val="20"/>
          <w:szCs w:val="20"/>
          <w:lang w:val="en-US"/>
        </w:rPr>
        <w:t xml:space="preserve"> 9, 85354, Email: </w:t>
      </w:r>
      <w:hyperlink r:id="rId5" w:history="1">
        <w:r w:rsidRPr="00E33B67">
          <w:rPr>
            <w:rStyle w:val="Hyperlink"/>
            <w:rFonts w:asciiTheme="majorBidi" w:hAnsiTheme="majorBidi" w:cstheme="majorBidi"/>
            <w:sz w:val="20"/>
            <w:szCs w:val="20"/>
            <w:lang w:val="en-US"/>
          </w:rPr>
          <w:t>kang.yu@tum.de</w:t>
        </w:r>
      </w:hyperlink>
    </w:p>
    <w:p w:rsidR="004E5A80" w:rsidRDefault="004E5A80"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581B66" w:rsidP="00E33B67">
      <w:pPr>
        <w:rPr>
          <w:lang w:val="en-US"/>
        </w:rPr>
      </w:pPr>
    </w:p>
    <w:p w:rsidR="00581B66" w:rsidRDefault="008023C0" w:rsidP="00FE10D7">
      <w:pPr>
        <w:rPr>
          <w:rFonts w:asciiTheme="majorBidi" w:hAnsiTheme="majorBidi" w:cstheme="majorBidi"/>
          <w:b/>
          <w:bCs/>
          <w:sz w:val="28"/>
          <w:szCs w:val="28"/>
        </w:rPr>
      </w:pPr>
      <w:r w:rsidRPr="008023C0">
        <w:rPr>
          <w:rFonts w:asciiTheme="majorBidi" w:hAnsiTheme="majorBidi" w:cstheme="majorBidi"/>
          <w:b/>
          <w:bCs/>
          <w:sz w:val="28"/>
          <w:szCs w:val="28"/>
        </w:rPr>
        <w:lastRenderedPageBreak/>
        <w:t xml:space="preserve">Supplementary Methods </w:t>
      </w:r>
    </w:p>
    <w:p w:rsidR="008023C0" w:rsidRDefault="008023C0" w:rsidP="008023C0">
      <w:pPr>
        <w:rPr>
          <w:rFonts w:asciiTheme="majorBidi" w:hAnsiTheme="majorBidi" w:cstheme="majorBidi"/>
          <w:b/>
          <w:bCs/>
          <w:sz w:val="24"/>
          <w:szCs w:val="24"/>
        </w:rPr>
      </w:pPr>
      <w:r w:rsidRPr="008023C0">
        <w:rPr>
          <w:rFonts w:asciiTheme="majorBidi" w:hAnsiTheme="majorBidi" w:cstheme="majorBidi"/>
          <w:b/>
          <w:bCs/>
          <w:sz w:val="24"/>
          <w:szCs w:val="24"/>
        </w:rPr>
        <w:t>Supplementary Methods S1.</w:t>
      </w:r>
      <w:r>
        <w:rPr>
          <w:rFonts w:asciiTheme="majorBidi" w:hAnsiTheme="majorBidi" w:cstheme="majorBidi"/>
          <w:b/>
          <w:bCs/>
          <w:sz w:val="24"/>
          <w:szCs w:val="24"/>
        </w:rPr>
        <w:t xml:space="preserve"> </w:t>
      </w:r>
      <w:r w:rsidRPr="008023C0">
        <w:rPr>
          <w:rFonts w:asciiTheme="majorBidi" w:hAnsiTheme="majorBidi" w:cstheme="majorBidi"/>
          <w:b/>
          <w:bCs/>
          <w:sz w:val="24"/>
          <w:szCs w:val="24"/>
        </w:rPr>
        <w:t>Canopy spectral and structural metrics</w:t>
      </w:r>
      <w:r w:rsidR="00500580">
        <w:rPr>
          <w:rFonts w:asciiTheme="majorBidi" w:hAnsiTheme="majorBidi" w:cstheme="majorBidi"/>
          <w:b/>
          <w:bCs/>
          <w:sz w:val="24"/>
          <w:szCs w:val="24"/>
        </w:rPr>
        <w:br/>
      </w:r>
    </w:p>
    <w:p w:rsidR="00500580" w:rsidRPr="00500580" w:rsidRDefault="00500580" w:rsidP="00DB6E26">
      <w:pPr>
        <w:spacing w:line="360" w:lineRule="auto"/>
        <w:jc w:val="both"/>
        <w:rPr>
          <w:rFonts w:asciiTheme="majorBidi" w:hAnsiTheme="majorBidi" w:cstheme="majorBidi"/>
          <w:sz w:val="24"/>
          <w:szCs w:val="24"/>
        </w:rPr>
      </w:pPr>
      <w:r w:rsidRPr="00500580">
        <w:rPr>
          <w:rFonts w:asciiTheme="majorBidi" w:hAnsiTheme="majorBidi" w:cstheme="majorBidi"/>
          <w:sz w:val="24"/>
          <w:szCs w:val="24"/>
        </w:rPr>
        <w:t xml:space="preserve">We derived canopy spectral and structural traits from the UAV multispectral </w:t>
      </w:r>
      <w:proofErr w:type="spellStart"/>
      <w:r w:rsidRPr="00500580">
        <w:rPr>
          <w:rFonts w:asciiTheme="majorBidi" w:hAnsiTheme="majorBidi" w:cstheme="majorBidi"/>
          <w:sz w:val="24"/>
          <w:szCs w:val="24"/>
        </w:rPr>
        <w:t>orthomosaics</w:t>
      </w:r>
      <w:proofErr w:type="spellEnd"/>
      <w:r w:rsidRPr="00500580">
        <w:rPr>
          <w:rFonts w:asciiTheme="majorBidi" w:hAnsiTheme="majorBidi" w:cstheme="majorBidi"/>
          <w:sz w:val="24"/>
          <w:szCs w:val="24"/>
        </w:rPr>
        <w:t xml:space="preserve"> and canopy height models (CHM) at the scale of each 1 × 1 m quadrat. To capture spectral variability as an indicator of functional heterogeneity, we calculated three established metrics: the coefficient of variation (CV; e.g., Wang et al., 2016), spectral entropy (Shannon, 1948), and the spectral angle mapper (SAM; Kruse et al., 1993). For each quadrat, we extracted valid pixels across the five multispectral bands (blue, green, red, red-edge, and </w:t>
      </w:r>
      <w:proofErr w:type="gramStart"/>
      <w:r w:rsidRPr="00500580">
        <w:rPr>
          <w:rFonts w:asciiTheme="majorBidi" w:hAnsiTheme="majorBidi" w:cstheme="majorBidi"/>
          <w:sz w:val="24"/>
          <w:szCs w:val="24"/>
        </w:rPr>
        <w:t>near-infrared</w:t>
      </w:r>
      <w:proofErr w:type="gramEnd"/>
      <w:r w:rsidRPr="00500580">
        <w:rPr>
          <w:rFonts w:asciiTheme="majorBidi" w:hAnsiTheme="majorBidi" w:cstheme="majorBidi"/>
          <w:sz w:val="24"/>
          <w:szCs w:val="24"/>
        </w:rPr>
        <w:t>). We computed CV for each band based on pixel values within the quadrat and then averaged these across the bands to yield a single quadrat-level value. For spectral entropy, we first normalized each pixel's five-band reflectance vector into a probability distribution (by dividing each band's reflectance by the sum across bands) and applied Shannon’s formula; we then averaged pixel-level entropy values to obtain the quadrat-level metric. SAM involved calculating the spectral angle between all unique pairs of pixel reflectance vectors in the quadrat, with the mean pairwise angle serving as the quadrat-level value, where larger angles reflect greater spectral dissimilarity. We performed these calculations using the full five-band vectors and, where appropriate, for targeted band subsets (e.g., RGB or red-edge + NIR) to assess the role of specific spectral regions in canopy traits.</w:t>
      </w:r>
    </w:p>
    <w:p w:rsidR="00500580" w:rsidRDefault="00500580" w:rsidP="00DB6E26">
      <w:pPr>
        <w:spacing w:line="360" w:lineRule="auto"/>
        <w:jc w:val="both"/>
        <w:rPr>
          <w:rFonts w:asciiTheme="majorBidi" w:hAnsiTheme="majorBidi" w:cstheme="majorBidi"/>
          <w:sz w:val="24"/>
          <w:szCs w:val="24"/>
        </w:rPr>
      </w:pPr>
      <w:r w:rsidRPr="00500580">
        <w:rPr>
          <w:rFonts w:asciiTheme="majorBidi" w:hAnsiTheme="majorBidi" w:cstheme="majorBidi"/>
          <w:sz w:val="24"/>
          <w:szCs w:val="24"/>
        </w:rPr>
        <w:t xml:space="preserve">To quantify spatial patterns in canopy structure and texture, we extracted second-order texture metrics from the multispectral </w:t>
      </w:r>
      <w:proofErr w:type="spellStart"/>
      <w:r w:rsidRPr="00500580">
        <w:rPr>
          <w:rFonts w:asciiTheme="majorBidi" w:hAnsiTheme="majorBidi" w:cstheme="majorBidi"/>
          <w:sz w:val="24"/>
          <w:szCs w:val="24"/>
        </w:rPr>
        <w:t>orthomosaics</w:t>
      </w:r>
      <w:proofErr w:type="spellEnd"/>
      <w:r w:rsidRPr="00500580">
        <w:rPr>
          <w:rFonts w:asciiTheme="majorBidi" w:hAnsiTheme="majorBidi" w:cstheme="majorBidi"/>
          <w:sz w:val="24"/>
          <w:szCs w:val="24"/>
        </w:rPr>
        <w:t xml:space="preserve"> and structural metrics from the CHM. We assessed texture using grey-level co-occurrence matrices (GLCM; </w:t>
      </w:r>
      <w:proofErr w:type="spellStart"/>
      <w:r w:rsidRPr="00500580">
        <w:rPr>
          <w:rFonts w:asciiTheme="majorBidi" w:hAnsiTheme="majorBidi" w:cstheme="majorBidi"/>
          <w:sz w:val="24"/>
          <w:szCs w:val="24"/>
        </w:rPr>
        <w:t>Haralick</w:t>
      </w:r>
      <w:proofErr w:type="spellEnd"/>
      <w:r w:rsidRPr="00500580">
        <w:rPr>
          <w:rFonts w:asciiTheme="majorBidi" w:hAnsiTheme="majorBidi" w:cstheme="majorBidi"/>
          <w:sz w:val="24"/>
          <w:szCs w:val="24"/>
        </w:rPr>
        <w:t xml:space="preserve"> et al., 1973). For each band, we computed GLCMs within a 3 × 3 moving window across four directions (0°, 45°, 90°, 135°) at a one-pixel offset, then averaged the direction-specific matrices for rotational invariance. From thes</w:t>
      </w:r>
      <w:r w:rsidR="00545891">
        <w:rPr>
          <w:rFonts w:asciiTheme="majorBidi" w:hAnsiTheme="majorBidi" w:cstheme="majorBidi"/>
          <w:sz w:val="24"/>
          <w:szCs w:val="24"/>
        </w:rPr>
        <w:t xml:space="preserve">e, we derived four key features, </w:t>
      </w:r>
      <w:r w:rsidRPr="00500580">
        <w:rPr>
          <w:rFonts w:asciiTheme="majorBidi" w:hAnsiTheme="majorBidi" w:cstheme="majorBidi"/>
          <w:sz w:val="24"/>
          <w:szCs w:val="24"/>
        </w:rPr>
        <w:t>contrast, corre</w:t>
      </w:r>
      <w:r w:rsidR="00545891">
        <w:rPr>
          <w:rFonts w:asciiTheme="majorBidi" w:hAnsiTheme="majorBidi" w:cstheme="majorBidi"/>
          <w:sz w:val="24"/>
          <w:szCs w:val="24"/>
        </w:rPr>
        <w:t xml:space="preserve">lation, energy, and homogeneity </w:t>
      </w:r>
      <w:r w:rsidRPr="00500580">
        <w:rPr>
          <w:rFonts w:asciiTheme="majorBidi" w:hAnsiTheme="majorBidi" w:cstheme="majorBidi"/>
          <w:sz w:val="24"/>
          <w:szCs w:val="24"/>
        </w:rPr>
        <w:t xml:space="preserve">for each band and averaged them across intersecting windows to produce quadrat-level texture </w:t>
      </w:r>
      <w:r w:rsidRPr="00500580">
        <w:rPr>
          <w:rFonts w:asciiTheme="majorBidi" w:hAnsiTheme="majorBidi" w:cstheme="majorBidi"/>
          <w:sz w:val="24"/>
          <w:szCs w:val="24"/>
        </w:rPr>
        <w:lastRenderedPageBreak/>
        <w:t xml:space="preserve">metrics. For structural diversity, we calculated the coefficient of variation in canopy height (height CV) and a height-based entropy index to describe the distribution of height values within each quadrat. Additionally, we included a structural richness metric as the count of distinct non-zero height values (or height classes) to represent vertical complexity. Table </w:t>
      </w:r>
      <w:r w:rsidR="00545891">
        <w:rPr>
          <w:rFonts w:asciiTheme="majorBidi" w:hAnsiTheme="majorBidi" w:cstheme="majorBidi"/>
          <w:sz w:val="24"/>
          <w:szCs w:val="24"/>
        </w:rPr>
        <w:t>S</w:t>
      </w:r>
      <w:r w:rsidRPr="00500580">
        <w:rPr>
          <w:rFonts w:asciiTheme="majorBidi" w:hAnsiTheme="majorBidi" w:cstheme="majorBidi"/>
          <w:sz w:val="24"/>
          <w:szCs w:val="24"/>
        </w:rPr>
        <w:t>1 provides an overview of all spectral, texture, and structural metrics, including their mathematical definitions.</w:t>
      </w:r>
    </w:p>
    <w:p w:rsidR="00210949" w:rsidRPr="00545891" w:rsidRDefault="00210949" w:rsidP="00545891">
      <w:pPr>
        <w:spacing w:line="360" w:lineRule="auto"/>
        <w:jc w:val="both"/>
        <w:rPr>
          <w:rFonts w:asciiTheme="majorBidi" w:hAnsiTheme="majorBidi" w:cstheme="majorBidi"/>
        </w:rPr>
      </w:pPr>
      <w:r w:rsidRPr="00545891">
        <w:rPr>
          <w:rFonts w:asciiTheme="majorBidi" w:hAnsiTheme="majorBidi" w:cstheme="majorBidi"/>
        </w:rPr>
        <w:t xml:space="preserve">Table S1. Overview of canopy metrics derived from UAV multispectral imagery and canopy height models (CHM) used as predictors of </w:t>
      </w:r>
      <w:proofErr w:type="spellStart"/>
      <w:r w:rsidRPr="00545891">
        <w:rPr>
          <w:rFonts w:asciiTheme="majorBidi" w:hAnsiTheme="majorBidi" w:cstheme="majorBidi"/>
        </w:rPr>
        <w:t>arbuscular</w:t>
      </w:r>
      <w:proofErr w:type="spellEnd"/>
      <w:r w:rsidRPr="00545891">
        <w:rPr>
          <w:rFonts w:asciiTheme="majorBidi" w:hAnsiTheme="majorBidi" w:cstheme="majorBidi"/>
        </w:rPr>
        <w:t xml:space="preserve"> </w:t>
      </w:r>
      <w:proofErr w:type="spellStart"/>
      <w:r w:rsidRPr="00545891">
        <w:rPr>
          <w:rFonts w:asciiTheme="majorBidi" w:hAnsiTheme="majorBidi" w:cstheme="majorBidi"/>
        </w:rPr>
        <w:t>mycorrhizal</w:t>
      </w:r>
      <w:proofErr w:type="spellEnd"/>
      <w:r w:rsidRPr="00545891">
        <w:rPr>
          <w:rFonts w:asciiTheme="majorBidi" w:hAnsiTheme="majorBidi" w:cstheme="majorBidi"/>
        </w:rPr>
        <w:t xml:space="preserve"> fungi (AMF) abundance. Metrics </w:t>
      </w:r>
      <w:proofErr w:type="gramStart"/>
      <w:r w:rsidRPr="00545891">
        <w:rPr>
          <w:rFonts w:asciiTheme="majorBidi" w:hAnsiTheme="majorBidi" w:cstheme="majorBidi"/>
        </w:rPr>
        <w:t>are grouped</w:t>
      </w:r>
      <w:proofErr w:type="gramEnd"/>
      <w:r w:rsidRPr="00545891">
        <w:rPr>
          <w:rFonts w:asciiTheme="majorBidi" w:hAnsiTheme="majorBidi" w:cstheme="majorBidi"/>
        </w:rPr>
        <w:t xml:space="preserve"> into spectral diversity measures, vegetation indices, texture features based on grey-level co-occurrence matrices (GLCM), and structural (CHM-derived) variables. For each metric, the symbol, analytical formula, and key reference </w:t>
      </w:r>
      <w:proofErr w:type="gramStart"/>
      <w:r w:rsidRPr="00545891">
        <w:rPr>
          <w:rFonts w:asciiTheme="majorBidi" w:hAnsiTheme="majorBidi" w:cstheme="majorBidi"/>
        </w:rPr>
        <w:t>are provided</w:t>
      </w:r>
      <w:proofErr w:type="gramEnd"/>
      <w:r w:rsidRPr="00545891">
        <w:rPr>
          <w:rFonts w:asciiTheme="majorBidi" w:hAnsiTheme="majorBidi" w:cstheme="majorBidi"/>
        </w:rPr>
        <w:t>. NIR, R, G and RE denote near-infrared, red, green and red-edge reflectance, respectively; p(</w:t>
      </w:r>
      <w:proofErr w:type="spellStart"/>
      <w:r w:rsidRPr="00545891">
        <w:rPr>
          <w:rFonts w:asciiTheme="majorBidi" w:hAnsiTheme="majorBidi" w:cstheme="majorBidi"/>
        </w:rPr>
        <w:t>i,j</w:t>
      </w:r>
      <w:proofErr w:type="spellEnd"/>
      <w:r w:rsidRPr="00545891">
        <w:rPr>
          <w:rFonts w:asciiTheme="majorBidi" w:hAnsiTheme="majorBidi" w:cstheme="majorBidi"/>
        </w:rPr>
        <w:t xml:space="preserve">) is the GLCM probability for grey levels </w:t>
      </w:r>
      <w:proofErr w:type="spellStart"/>
      <w:r w:rsidRPr="00545891">
        <w:rPr>
          <w:rFonts w:asciiTheme="majorBidi" w:hAnsiTheme="majorBidi" w:cstheme="majorBidi"/>
        </w:rPr>
        <w:t>i</w:t>
      </w:r>
      <w:proofErr w:type="spellEnd"/>
      <w:r w:rsidRPr="00545891">
        <w:rPr>
          <w:rFonts w:asciiTheme="majorBidi" w:hAnsiTheme="majorBidi" w:cstheme="majorBidi"/>
        </w:rPr>
        <w:t xml:space="preserve"> and j, and "q" _"k"  is the proportion of canopy height values in height class k used to compute height entropy (foliage height diversity).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
        <w:gridCol w:w="2097"/>
        <w:gridCol w:w="1052"/>
        <w:gridCol w:w="3256"/>
        <w:gridCol w:w="1457"/>
      </w:tblGrid>
      <w:tr w:rsidR="00662C14" w:rsidRPr="00662C14" w:rsidTr="004E5A80">
        <w:tc>
          <w:tcPr>
            <w:tcW w:w="0" w:type="auto"/>
            <w:tcBorders>
              <w:top w:val="single" w:sz="4" w:space="0" w:color="auto"/>
              <w:bottom w:val="single" w:sz="4" w:space="0" w:color="auto"/>
            </w:tcBorders>
            <w:hideMark/>
          </w:tcPr>
          <w:p w:rsidR="00662C14" w:rsidRPr="00545891" w:rsidRDefault="00662C14" w:rsidP="00662C14">
            <w:pPr>
              <w:jc w:val="center"/>
              <w:rPr>
                <w:rFonts w:ascii="Times New Roman" w:eastAsia="Times New Roman" w:hAnsi="Times New Roman" w:cs="Times New Roman"/>
                <w:b/>
                <w:bCs/>
                <w:lang w:eastAsia="en-GB"/>
              </w:rPr>
            </w:pPr>
            <w:r w:rsidRPr="00545891">
              <w:rPr>
                <w:rFonts w:ascii="Times New Roman" w:eastAsia="Times New Roman" w:hAnsi="Times New Roman" w:cs="Times New Roman"/>
                <w:b/>
                <w:bCs/>
                <w:lang w:eastAsia="en-GB"/>
              </w:rPr>
              <w:t>Category</w:t>
            </w:r>
          </w:p>
        </w:tc>
        <w:tc>
          <w:tcPr>
            <w:tcW w:w="2097" w:type="dxa"/>
            <w:tcBorders>
              <w:top w:val="single" w:sz="4" w:space="0" w:color="auto"/>
              <w:bottom w:val="single" w:sz="4" w:space="0" w:color="auto"/>
            </w:tcBorders>
            <w:hideMark/>
          </w:tcPr>
          <w:p w:rsidR="00662C14" w:rsidRPr="00545891" w:rsidRDefault="00662C14" w:rsidP="00662C14">
            <w:pPr>
              <w:jc w:val="center"/>
              <w:rPr>
                <w:rFonts w:ascii="Times New Roman" w:eastAsia="Times New Roman" w:hAnsi="Times New Roman" w:cs="Times New Roman"/>
                <w:b/>
                <w:bCs/>
                <w:lang w:eastAsia="en-GB"/>
              </w:rPr>
            </w:pPr>
            <w:r w:rsidRPr="00545891">
              <w:rPr>
                <w:rFonts w:ascii="Times New Roman" w:eastAsia="Times New Roman" w:hAnsi="Times New Roman" w:cs="Times New Roman"/>
                <w:b/>
                <w:bCs/>
                <w:lang w:eastAsia="en-GB"/>
              </w:rPr>
              <w:t>Metric name</w:t>
            </w:r>
          </w:p>
        </w:tc>
        <w:tc>
          <w:tcPr>
            <w:tcW w:w="1052" w:type="dxa"/>
            <w:tcBorders>
              <w:top w:val="single" w:sz="4" w:space="0" w:color="auto"/>
              <w:bottom w:val="single" w:sz="4" w:space="0" w:color="auto"/>
            </w:tcBorders>
            <w:hideMark/>
          </w:tcPr>
          <w:p w:rsidR="00662C14" w:rsidRPr="00545891" w:rsidRDefault="00662C14" w:rsidP="00662C14">
            <w:pPr>
              <w:jc w:val="center"/>
              <w:rPr>
                <w:rFonts w:ascii="Times New Roman" w:eastAsia="Times New Roman" w:hAnsi="Times New Roman" w:cs="Times New Roman"/>
                <w:b/>
                <w:bCs/>
                <w:lang w:eastAsia="en-GB"/>
              </w:rPr>
            </w:pPr>
            <w:r w:rsidRPr="00545891">
              <w:rPr>
                <w:rFonts w:ascii="Times New Roman" w:eastAsia="Times New Roman" w:hAnsi="Times New Roman" w:cs="Times New Roman"/>
                <w:b/>
                <w:bCs/>
                <w:lang w:eastAsia="en-GB"/>
              </w:rPr>
              <w:t>Symbol</w:t>
            </w:r>
          </w:p>
        </w:tc>
        <w:tc>
          <w:tcPr>
            <w:tcW w:w="3256" w:type="dxa"/>
            <w:tcBorders>
              <w:top w:val="single" w:sz="4" w:space="0" w:color="auto"/>
              <w:bottom w:val="single" w:sz="4" w:space="0" w:color="auto"/>
            </w:tcBorders>
            <w:hideMark/>
          </w:tcPr>
          <w:p w:rsidR="00662C14" w:rsidRPr="00545891" w:rsidRDefault="00662C14" w:rsidP="00662C14">
            <w:pPr>
              <w:jc w:val="center"/>
              <w:rPr>
                <w:rFonts w:ascii="Times New Roman" w:eastAsia="Times New Roman" w:hAnsi="Times New Roman" w:cs="Times New Roman"/>
                <w:b/>
                <w:bCs/>
                <w:lang w:eastAsia="en-GB"/>
              </w:rPr>
            </w:pPr>
            <w:r w:rsidRPr="00545891">
              <w:rPr>
                <w:rFonts w:ascii="Times New Roman" w:eastAsia="Times New Roman" w:hAnsi="Times New Roman" w:cs="Times New Roman"/>
                <w:b/>
                <w:bCs/>
                <w:lang w:eastAsia="en-GB"/>
              </w:rPr>
              <w:t>Formula</w:t>
            </w:r>
          </w:p>
        </w:tc>
        <w:tc>
          <w:tcPr>
            <w:tcW w:w="1457" w:type="dxa"/>
            <w:tcBorders>
              <w:top w:val="single" w:sz="4" w:space="0" w:color="auto"/>
              <w:bottom w:val="single" w:sz="4" w:space="0" w:color="auto"/>
            </w:tcBorders>
            <w:hideMark/>
          </w:tcPr>
          <w:p w:rsidR="00662C14" w:rsidRPr="00545891" w:rsidRDefault="00545891" w:rsidP="00662C14">
            <w:pPr>
              <w:jc w:val="center"/>
              <w:rPr>
                <w:rFonts w:ascii="Times New Roman" w:eastAsia="Times New Roman" w:hAnsi="Times New Roman" w:cs="Times New Roman"/>
                <w:b/>
                <w:bCs/>
                <w:lang w:eastAsia="en-GB"/>
              </w:rPr>
            </w:pPr>
            <w:r w:rsidRPr="00545891">
              <w:rPr>
                <w:rFonts w:ascii="Times New Roman" w:eastAsia="Times New Roman" w:hAnsi="Times New Roman" w:cs="Times New Roman"/>
                <w:b/>
                <w:bCs/>
                <w:lang w:eastAsia="en-GB"/>
              </w:rPr>
              <w:t>Reference</w:t>
            </w:r>
          </w:p>
        </w:tc>
      </w:tr>
      <w:tr w:rsidR="00662C14" w:rsidRPr="00662C14" w:rsidTr="004E5A80">
        <w:tc>
          <w:tcPr>
            <w:tcW w:w="0" w:type="auto"/>
            <w:vMerge w:val="restart"/>
            <w:tcBorders>
              <w:top w:val="single" w:sz="4" w:space="0" w:color="auto"/>
            </w:tcBorders>
            <w:textDirection w:val="btLr"/>
            <w:hideMark/>
          </w:tcPr>
          <w:p w:rsidR="00662C14" w:rsidRPr="00662C14" w:rsidRDefault="00662C14" w:rsidP="00662C14">
            <w:pPr>
              <w:ind w:left="113" w:right="113"/>
              <w:jc w:val="center"/>
              <w:rPr>
                <w:rFonts w:ascii="Times New Roman" w:eastAsia="Times New Roman" w:hAnsi="Times New Roman" w:cs="Times New Roman"/>
                <w:sz w:val="24"/>
                <w:szCs w:val="24"/>
                <w:lang w:eastAsia="en-GB"/>
              </w:rPr>
            </w:pPr>
            <w:r w:rsidRPr="00662C14">
              <w:rPr>
                <w:rFonts w:ascii="Times New Roman" w:eastAsia="Times New Roman" w:hAnsi="Times New Roman" w:cs="Times New Roman"/>
                <w:sz w:val="24"/>
                <w:szCs w:val="24"/>
                <w:lang w:eastAsia="en-GB"/>
              </w:rPr>
              <w:t>Spectral diversity</w:t>
            </w:r>
          </w:p>
          <w:p w:rsidR="00662C14" w:rsidRPr="00662C14" w:rsidRDefault="00662C14" w:rsidP="00662C14">
            <w:pPr>
              <w:ind w:left="113" w:right="113"/>
              <w:rPr>
                <w:rFonts w:ascii="Times New Roman" w:eastAsia="Times New Roman" w:hAnsi="Times New Roman" w:cs="Times New Roman"/>
                <w:sz w:val="24"/>
                <w:szCs w:val="24"/>
                <w:lang w:eastAsia="en-GB"/>
              </w:rPr>
            </w:pPr>
          </w:p>
        </w:tc>
        <w:tc>
          <w:tcPr>
            <w:tcW w:w="2097" w:type="dxa"/>
            <w:tcBorders>
              <w:top w:val="single" w:sz="4" w:space="0" w:color="auto"/>
              <w:bottom w:val="nil"/>
            </w:tcBorders>
            <w:hideMark/>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Coefficient of variation</w:t>
            </w:r>
          </w:p>
        </w:tc>
        <w:tc>
          <w:tcPr>
            <w:tcW w:w="1052" w:type="dxa"/>
            <w:tcBorders>
              <w:top w:val="single" w:sz="4" w:space="0" w:color="auto"/>
              <w:bottom w:val="nil"/>
            </w:tcBorders>
            <w:hideMark/>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CV</w:t>
            </w:r>
          </w:p>
        </w:tc>
        <w:tc>
          <w:tcPr>
            <w:tcW w:w="3256" w:type="dxa"/>
            <w:tcBorders>
              <w:top w:val="single" w:sz="4" w:space="0" w:color="auto"/>
              <w:bottom w:val="nil"/>
            </w:tcBorders>
          </w:tcPr>
          <w:p w:rsidR="00662C14" w:rsidRPr="00662C14" w:rsidRDefault="00DB6E26" w:rsidP="00662C14">
            <w:pPr>
              <w:rPr>
                <w:rFonts w:asciiTheme="majorBidi" w:eastAsia="Times New Roman" w:hAnsiTheme="majorBidi" w:cstheme="majorBidi"/>
                <w:lang w:eastAsia="en-GB"/>
              </w:rPr>
            </w:pPr>
            <m:oMathPara>
              <m:oMath>
                <m:f>
                  <m:fPr>
                    <m:ctrlPr>
                      <w:rPr>
                        <w:rFonts w:ascii="Cambria Math" w:hAnsi="Cambria Math" w:cstheme="majorBidi"/>
                        <w:i/>
                        <w:iCs/>
                      </w:rPr>
                    </m:ctrlPr>
                  </m:fPr>
                  <m:num>
                    <m:sSub>
                      <m:sSubPr>
                        <m:ctrlPr>
                          <w:rPr>
                            <w:rFonts w:ascii="Cambria Math" w:hAnsi="Cambria Math" w:cstheme="majorBidi"/>
                            <w:i/>
                            <w:iCs/>
                          </w:rPr>
                        </m:ctrlPr>
                      </m:sSubPr>
                      <m:e>
                        <m:r>
                          <m:rPr>
                            <m:nor/>
                          </m:rPr>
                          <w:rPr>
                            <w:rFonts w:asciiTheme="majorBidi" w:hAnsiTheme="majorBidi" w:cstheme="majorBidi"/>
                            <w:iCs/>
                          </w:rPr>
                          <m:t>σ</m:t>
                        </m:r>
                      </m:e>
                      <m:sub>
                        <m:r>
                          <m:rPr>
                            <m:nor/>
                          </m:rPr>
                          <w:rPr>
                            <w:rFonts w:asciiTheme="majorBidi" w:hAnsiTheme="majorBidi" w:cstheme="majorBidi"/>
                            <w:iCs/>
                          </w:rPr>
                          <m:t>λ</m:t>
                        </m:r>
                      </m:sub>
                    </m:sSub>
                  </m:num>
                  <m:den>
                    <m:sSub>
                      <m:sSubPr>
                        <m:ctrlPr>
                          <w:rPr>
                            <w:rFonts w:ascii="Cambria Math" w:hAnsi="Cambria Math" w:cstheme="majorBidi"/>
                            <w:i/>
                            <w:iCs/>
                          </w:rPr>
                        </m:ctrlPr>
                      </m:sSubPr>
                      <m:e>
                        <m:r>
                          <m:rPr>
                            <m:nor/>
                          </m:rPr>
                          <w:rPr>
                            <w:rFonts w:asciiTheme="majorBidi" w:hAnsiTheme="majorBidi" w:cstheme="majorBidi"/>
                            <w:iCs/>
                          </w:rPr>
                          <m:t>μ</m:t>
                        </m:r>
                      </m:e>
                      <m:sub>
                        <m:r>
                          <m:rPr>
                            <m:nor/>
                          </m:rPr>
                          <w:rPr>
                            <w:rFonts w:asciiTheme="majorBidi" w:hAnsiTheme="majorBidi" w:cstheme="majorBidi"/>
                            <w:iCs/>
                          </w:rPr>
                          <m:t>λ</m:t>
                        </m:r>
                      </m:sub>
                    </m:sSub>
                  </m:den>
                </m:f>
              </m:oMath>
            </m:oMathPara>
          </w:p>
        </w:tc>
        <w:tc>
          <w:tcPr>
            <w:tcW w:w="1457" w:type="dxa"/>
            <w:tcBorders>
              <w:top w:val="single" w:sz="4" w:space="0" w:color="auto"/>
              <w:bottom w:val="nil"/>
            </w:tcBorders>
            <w:hideMark/>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SimSun" w:hAnsi="Times New Roman" w:cs="Times New Roman"/>
              </w:rPr>
              <w:t>(</w:t>
            </w:r>
            <w:r w:rsidRPr="00662C14">
              <w:rPr>
                <w:rFonts w:ascii="Times New Roman" w:eastAsia="SimSun" w:hAnsi="Times New Roman" w:cs="Times New Roman"/>
              </w:rPr>
              <w:fldChar w:fldCharType="begin" w:fldLock="1"/>
            </w:r>
            <w:r w:rsidRPr="00662C14">
              <w:rPr>
                <w:rFonts w:ascii="Times New Roman" w:eastAsia="SimSun" w:hAnsi="Times New Roman" w:cs="Times New Roman"/>
              </w:rPr>
              <w:instrText>ADDIN CSL_CITATION {"citationItems":[{"id":"ITEM-1","itemData":{"DOI":"10.3390/rs8030214","ISSN":"20724292","abstract":"Grasslands play important roles in ecosystem production and support a large farming and grazing industry. An accurate and efficient way is needed to estimate grassland health and production for monitoring and adjusting management to get sustainable products and other ecosystem services. Previous studies of grasslands have shown varying relationships between productivity and biodiversity, with most showing either a positive or a hump-shaped relationship where productivity peaks at intermediate diversity. In this study, we used airborne imaging spectrometry combined with ground sampling and eddy covariance measurements to estimate the spatial pattern of production and biodiversity for two sites of contrasting productivity in a southern Alberta prairie ecosystem. Resulting patterns revealed that more diverse sites generally had greater productivity, supporting the hypothesis of a positive relationship between production and biodiversity for this site. We showed that the addition of evenness to richness (using the Shannon Index of dominant species instead of the number of dominant species alone) improved the correlation with optical diversity, an optically derived metric of biodiversity based on the coefficient of variation in spectral reflectance across space. Similarly, the Shannon Index was better correlated with productivity (estimated via NDVI (Normalized Difference Vegetation Index)) than the number of dominant species alone. Optical diversity provided a potent proxy for other more traditional biodiversity metrics (richness and Shannon index). Coupling field measurements and imaging spectrometry provides a method for assessing grassland productivity and biodiversity at a larger scale than can be sampled from the ground, and allows the integrated analysis of the productivity-biodiversity relationship over large areas.","author":[{"dropping-particle":"","family":"Wang","given":"Ran","non-dropping-particle":"","parse-names":false,"suffix":""},{"dropping-particle":"","family":"Gamon","given":"John A.","non-dropping-particle":"","parse-names":false,"suffix":""},{"dropping-particle":"","family":"Emmerton","given":"Craig A.","non-dropping-particle":"","parse-names":false,"suffix":""},{"dropping-particle":"","family":"Li","given":"Haitao","non-dropping-particle":"","parse-names":false,"suffix":""},{"dropping-particle":"","family":"Nestola","given":"Enrica","non-dropping-particle":"","parse-names":false,"suffix":""},{"dropping-particle":"","family":"Pastorello","given":"Gilberto Z.","non-dropping-particle":"","parse-names":false,"suffix":""},{"dropping-particle":"","family":"Menzer","given":"Olaf","non-dropping-particle":"","parse-names":false,"suffix":""}],"container-title":"Remote Sensing","id":"ITEM-1","issue":"3","issued":{"date-parts":[["2016"]]},"page":"1-20","title":"Integrated analysis of productivity and biodiversity in a southern Alberta prairie","type":"article-journal","volume":"8"},"uris":["http://www.mendeley.com/documents/?uuid=59edbc7e-3283-4bf8-ac2d-5e816e27f56f"]}],"mendeley":{"formattedCitation":"(Wang et al., 2016)","manualFormatting":"Wang et al., 2016","plainTextFormattedCitation":"(Wang et al., 2016)","previouslyFormattedCitation":"(Wang et al., 2016)"},"properties":{"noteIndex":0},"schema":"https://github.com/citation-style-language/schema/raw/master/csl-citation.json"}</w:instrText>
            </w:r>
            <w:r w:rsidRPr="00662C14">
              <w:rPr>
                <w:rFonts w:ascii="Times New Roman" w:eastAsia="SimSun" w:hAnsi="Times New Roman" w:cs="Times New Roman"/>
              </w:rPr>
              <w:fldChar w:fldCharType="separate"/>
            </w:r>
            <w:r w:rsidRPr="00662C14">
              <w:rPr>
                <w:rFonts w:ascii="Times New Roman" w:eastAsia="SimSun" w:hAnsi="Times New Roman" w:cs="Times New Roman"/>
                <w:noProof/>
              </w:rPr>
              <w:t>Wang et al., 2016</w:t>
            </w:r>
            <w:r w:rsidRPr="00662C14">
              <w:rPr>
                <w:rFonts w:ascii="Times New Roman" w:eastAsia="SimSun" w:hAnsi="Times New Roman" w:cs="Times New Roman"/>
              </w:rPr>
              <w:fldChar w:fldCharType="end"/>
            </w:r>
            <w:r w:rsidRPr="00662C14">
              <w:rPr>
                <w:rFonts w:ascii="Times New Roman" w:eastAsia="SimSun" w:hAnsi="Times New Roman" w:cs="Times New Roman"/>
              </w:rPr>
              <w:t>)</w:t>
            </w:r>
          </w:p>
        </w:tc>
      </w:tr>
      <w:tr w:rsidR="00662C14" w:rsidRPr="00662C14" w:rsidTr="004E5A80">
        <w:tc>
          <w:tcPr>
            <w:tcW w:w="0" w:type="auto"/>
            <w:vMerge/>
            <w:hideMark/>
          </w:tcPr>
          <w:p w:rsidR="00662C14" w:rsidRPr="00662C14" w:rsidRDefault="00662C14" w:rsidP="00662C14">
            <w:pPr>
              <w:rPr>
                <w:rFonts w:ascii="Times New Roman" w:eastAsia="Times New Roman" w:hAnsi="Times New Roman" w:cs="Times New Roman"/>
                <w:sz w:val="24"/>
                <w:szCs w:val="24"/>
                <w:lang w:eastAsia="en-GB"/>
              </w:rPr>
            </w:pPr>
          </w:p>
        </w:tc>
        <w:tc>
          <w:tcPr>
            <w:tcW w:w="2097" w:type="dxa"/>
            <w:tcBorders>
              <w:top w:val="nil"/>
              <w:bottom w:val="nil"/>
            </w:tcBorders>
            <w:hideMark/>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Spectral entropy</w:t>
            </w:r>
          </w:p>
        </w:tc>
        <w:tc>
          <w:tcPr>
            <w:tcW w:w="1052" w:type="dxa"/>
            <w:tcBorders>
              <w:top w:val="nil"/>
              <w:bottom w:val="nil"/>
            </w:tcBorders>
            <w:hideMark/>
          </w:tcPr>
          <w:p w:rsidR="00662C14" w:rsidRPr="00662C14" w:rsidRDefault="00662C14" w:rsidP="00662C14">
            <w:pPr>
              <w:jc w:val="center"/>
              <w:rPr>
                <w:rFonts w:ascii="Times New Roman" w:eastAsia="Times New Roman" w:hAnsi="Times New Roman" w:cs="Times New Roman"/>
                <w:lang w:eastAsia="en-GB"/>
              </w:rPr>
            </w:pPr>
            <w:proofErr w:type="spellStart"/>
            <w:r w:rsidRPr="00662C14">
              <w:rPr>
                <w:rFonts w:asciiTheme="majorBidi" w:hAnsiTheme="majorBidi" w:cstheme="majorBidi"/>
              </w:rPr>
              <w:t>H</w:t>
            </w:r>
            <w:r w:rsidRPr="00662C14">
              <w:rPr>
                <w:rFonts w:asciiTheme="majorBidi" w:hAnsiTheme="majorBidi" w:cstheme="majorBidi"/>
                <w:vertAlign w:val="subscript"/>
              </w:rPr>
              <w:t>spec</w:t>
            </w:r>
            <w:proofErr w:type="spellEnd"/>
            <w:r w:rsidRPr="00662C14">
              <w:rPr>
                <w:rFonts w:asciiTheme="majorBidi" w:hAnsiTheme="majorBidi" w:cstheme="majorBidi"/>
              </w:rPr>
              <w:t>​</w:t>
            </w:r>
          </w:p>
        </w:tc>
        <w:tc>
          <w:tcPr>
            <w:tcW w:w="3256" w:type="dxa"/>
            <w:tcBorders>
              <w:top w:val="nil"/>
              <w:bottom w:val="nil"/>
            </w:tcBorders>
            <w:hideMark/>
          </w:tcPr>
          <w:p w:rsidR="00662C14" w:rsidRPr="00662C14" w:rsidRDefault="00662C14" w:rsidP="00662C14">
            <w:pPr>
              <w:rPr>
                <w:rFonts w:ascii="Times New Roman" w:eastAsia="Times New Roman" w:hAnsi="Times New Roman" w:cs="Times New Roman"/>
                <w:lang w:eastAsia="en-GB"/>
              </w:rPr>
            </w:pPr>
            <m:oMathPara>
              <m:oMath>
                <m:r>
                  <m:rPr>
                    <m:nor/>
                  </m:rPr>
                  <w:rPr>
                    <w:rFonts w:asciiTheme="majorBidi" w:hAnsiTheme="majorBidi" w:cstheme="majorBidi"/>
                    <w:i/>
                    <w:iCs/>
                  </w:rPr>
                  <m:t>-</m:t>
                </m:r>
                <m:nary>
                  <m:naryPr>
                    <m:chr m:val="∑"/>
                    <m:limLoc m:val="undOvr"/>
                    <m:ctrlPr>
                      <w:rPr>
                        <w:rFonts w:ascii="Cambria Math" w:hAnsi="Cambria Math" w:cstheme="majorBidi"/>
                        <w:i/>
                        <w:iCs/>
                      </w:rPr>
                    </m:ctrlPr>
                  </m:naryPr>
                  <m:sub>
                    <m:r>
                      <m:rPr>
                        <m:nor/>
                      </m:rPr>
                      <w:rPr>
                        <w:rFonts w:asciiTheme="majorBidi" w:hAnsiTheme="majorBidi" w:cstheme="majorBidi"/>
                        <w:i/>
                        <w:iCs/>
                      </w:rPr>
                      <m:t>λ=1</m:t>
                    </m:r>
                  </m:sub>
                  <m:sup>
                    <m:r>
                      <m:rPr>
                        <m:nor/>
                      </m:rPr>
                      <w:rPr>
                        <w:rFonts w:asciiTheme="majorBidi" w:hAnsiTheme="majorBidi" w:cstheme="majorBidi"/>
                        <w:i/>
                        <w:iCs/>
                      </w:rPr>
                      <m:t>N</m:t>
                    </m:r>
                  </m:sup>
                  <m:e>
                    <m:sSub>
                      <m:sSubPr>
                        <m:ctrlPr>
                          <w:rPr>
                            <w:rFonts w:ascii="Cambria Math" w:hAnsi="Cambria Math" w:cstheme="majorBidi"/>
                            <w:i/>
                            <w:iCs/>
                          </w:rPr>
                        </m:ctrlPr>
                      </m:sSubPr>
                      <m:e>
                        <m:r>
                          <m:rPr>
                            <m:nor/>
                          </m:rPr>
                          <w:rPr>
                            <w:rFonts w:asciiTheme="majorBidi" w:hAnsiTheme="majorBidi" w:cstheme="majorBidi"/>
                            <w:i/>
                            <w:iCs/>
                          </w:rPr>
                          <m:t>p</m:t>
                        </m:r>
                      </m:e>
                      <m:sub>
                        <m:r>
                          <m:rPr>
                            <m:nor/>
                          </m:rPr>
                          <w:rPr>
                            <w:rFonts w:asciiTheme="majorBidi" w:hAnsiTheme="majorBidi" w:cstheme="majorBidi"/>
                            <w:i/>
                            <w:iCs/>
                          </w:rPr>
                          <m:t>λ</m:t>
                        </m:r>
                      </m:sub>
                    </m:sSub>
                    <m:r>
                      <m:rPr>
                        <m:nor/>
                      </m:rPr>
                      <w:rPr>
                        <w:rFonts w:asciiTheme="majorBidi" w:hAnsiTheme="majorBidi" w:cstheme="majorBidi"/>
                        <w:i/>
                        <w:iCs/>
                      </w:rPr>
                      <m:t>ln</m:t>
                    </m:r>
                    <m:sSub>
                      <m:sSubPr>
                        <m:ctrlPr>
                          <w:rPr>
                            <w:rFonts w:ascii="Cambria Math" w:hAnsi="Cambria Math" w:cstheme="majorBidi"/>
                            <w:i/>
                            <w:iCs/>
                          </w:rPr>
                        </m:ctrlPr>
                      </m:sSubPr>
                      <m:e>
                        <m:r>
                          <m:rPr>
                            <m:nor/>
                          </m:rPr>
                          <w:rPr>
                            <w:rFonts w:asciiTheme="majorBidi" w:hAnsiTheme="majorBidi" w:cstheme="majorBidi"/>
                            <w:i/>
                            <w:iCs/>
                          </w:rPr>
                          <m:t>p</m:t>
                        </m:r>
                      </m:e>
                      <m:sub>
                        <m:r>
                          <m:rPr>
                            <m:nor/>
                          </m:rPr>
                          <w:rPr>
                            <w:rFonts w:asciiTheme="majorBidi" w:hAnsiTheme="majorBidi" w:cstheme="majorBidi"/>
                            <w:i/>
                            <w:iCs/>
                          </w:rPr>
                          <m:t>λ</m:t>
                        </m:r>
                      </m:sub>
                    </m:sSub>
                  </m:e>
                </m:nary>
              </m:oMath>
            </m:oMathPara>
          </w:p>
        </w:tc>
        <w:tc>
          <w:tcPr>
            <w:tcW w:w="1457" w:type="dxa"/>
            <w:tcBorders>
              <w:top w:val="nil"/>
              <w:bottom w:val="nil"/>
            </w:tcBorders>
            <w:hideMark/>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SimSun" w:hAnsi="Times New Roman" w:cs="Times New Roman"/>
              </w:rPr>
              <w:t>(</w:t>
            </w:r>
            <w:r w:rsidRPr="00662C14">
              <w:rPr>
                <w:rFonts w:ascii="Times New Roman" w:eastAsia="SimSun" w:hAnsi="Times New Roman" w:cs="Times New Roman"/>
              </w:rPr>
              <w:fldChar w:fldCharType="begin" w:fldLock="1"/>
            </w:r>
            <w:r w:rsidRPr="00662C14">
              <w:rPr>
                <w:rFonts w:ascii="Times New Roman" w:eastAsia="SimSun" w:hAnsi="Times New Roman" w:cs="Times New Roman"/>
              </w:rPr>
              <w:instrText>ADDIN CSL_CITATION {"citationItems":[{"id":"ITEM-1","itemData":{"DOI":"10.1002/J.1538-7305.1948.TB01338.X","ISSN":"15387305","author":[{"dropping-particle":"","family":"Shannon","given":"C. E.","non-dropping-particle":"","parse-names":false,"suffix":""}],"container-title":"Bell System Technical Journal","id":"ITEM-1","issue":"3","issued":{"date-parts":[["1948"]]},"page":"379-423","title":"A Mathematical Theory of Communication","type":"article-journal","volume":"27"},"uris":["http://www.mendeley.com/documents/?uuid=0951ffe2-5a96-3cbd-ac65-26f289363455"]}],"mendeley":{"formattedCitation":"(Shannon, 1948)","manualFormatting":"Shannon, 1948","plainTextFormattedCitation":"(Shannon, 1948)","previouslyFormattedCitation":"(Shannon, 1948)"},"properties":{"noteIndex":0},"schema":"https://github.com/citation-style-language/schema/raw/master/csl-citation.json"}</w:instrText>
            </w:r>
            <w:r w:rsidRPr="00662C14">
              <w:rPr>
                <w:rFonts w:ascii="Times New Roman" w:eastAsia="SimSun" w:hAnsi="Times New Roman" w:cs="Times New Roman"/>
              </w:rPr>
              <w:fldChar w:fldCharType="separate"/>
            </w:r>
            <w:r w:rsidRPr="00662C14">
              <w:rPr>
                <w:rFonts w:ascii="Times New Roman" w:eastAsia="SimSun" w:hAnsi="Times New Roman" w:cs="Times New Roman"/>
                <w:noProof/>
              </w:rPr>
              <w:t>Shannon, 1948</w:t>
            </w:r>
            <w:r w:rsidRPr="00662C14">
              <w:rPr>
                <w:rFonts w:ascii="Times New Roman" w:eastAsia="SimSun" w:hAnsi="Times New Roman" w:cs="Times New Roman"/>
              </w:rPr>
              <w:fldChar w:fldCharType="end"/>
            </w:r>
            <w:r w:rsidRPr="00662C14">
              <w:rPr>
                <w:rFonts w:ascii="Times New Roman" w:eastAsia="SimSun" w:hAnsi="Times New Roman" w:cs="Times New Roman"/>
              </w:rPr>
              <w:t>)</w:t>
            </w:r>
          </w:p>
        </w:tc>
      </w:tr>
      <w:tr w:rsidR="00662C14" w:rsidRPr="00662C14" w:rsidTr="004E5A80">
        <w:tc>
          <w:tcPr>
            <w:tcW w:w="0" w:type="auto"/>
            <w:vMerge/>
            <w:tcBorders>
              <w:bottom w:val="nil"/>
            </w:tcBorders>
            <w:hideMark/>
          </w:tcPr>
          <w:p w:rsidR="00662C14" w:rsidRPr="00662C14" w:rsidRDefault="00662C14" w:rsidP="00662C14">
            <w:pPr>
              <w:rPr>
                <w:rFonts w:ascii="Times New Roman" w:eastAsia="Times New Roman" w:hAnsi="Times New Roman" w:cs="Times New Roman"/>
                <w:sz w:val="24"/>
                <w:szCs w:val="24"/>
                <w:lang w:eastAsia="en-GB"/>
              </w:rPr>
            </w:pPr>
          </w:p>
        </w:tc>
        <w:tc>
          <w:tcPr>
            <w:tcW w:w="2097" w:type="dxa"/>
            <w:tcBorders>
              <w:top w:val="nil"/>
              <w:bottom w:val="dashed" w:sz="4" w:space="0" w:color="auto"/>
            </w:tcBorders>
            <w:hideMark/>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Spectral angle mapper</w:t>
            </w:r>
          </w:p>
        </w:tc>
        <w:tc>
          <w:tcPr>
            <w:tcW w:w="1052" w:type="dxa"/>
            <w:tcBorders>
              <w:top w:val="nil"/>
              <w:bottom w:val="dashed" w:sz="4" w:space="0" w:color="auto"/>
            </w:tcBorders>
            <w:hideMark/>
          </w:tcPr>
          <w:p w:rsidR="00662C14" w:rsidRPr="00662C14" w:rsidRDefault="00DB6E26" w:rsidP="00662C14">
            <w:pPr>
              <w:jc w:val="center"/>
              <w:rPr>
                <w:rFonts w:ascii="Times New Roman" w:eastAsia="Times New Roman" w:hAnsi="Times New Roman" w:cs="Times New Roman"/>
                <w:lang w:eastAsia="en-GB"/>
              </w:rPr>
            </w:pPr>
            <m:oMathPara>
              <m:oMath>
                <m:sSub>
                  <m:sSubPr>
                    <m:ctrlPr>
                      <w:rPr>
                        <w:rFonts w:ascii="Cambria Math" w:hAnsi="Cambria Math" w:cstheme="majorBidi"/>
                        <w:bCs/>
                        <w:i/>
                      </w:rPr>
                    </m:ctrlPr>
                  </m:sSubPr>
                  <m:e>
                    <m:r>
                      <m:rPr>
                        <m:nor/>
                      </m:rPr>
                      <w:rPr>
                        <w:rFonts w:asciiTheme="majorBidi" w:hAnsiTheme="majorBidi" w:cstheme="majorBidi"/>
                        <w:bCs/>
                        <w:i/>
                      </w:rPr>
                      <m:t>θ</m:t>
                    </m:r>
                  </m:e>
                  <m:sub>
                    <m:r>
                      <w:rPr>
                        <w:rFonts w:ascii="Cambria Math" w:hAnsi="Cambria Math" w:cstheme="majorBidi"/>
                      </w:rPr>
                      <m:t>SAM</m:t>
                    </m:r>
                  </m:sub>
                </m:sSub>
              </m:oMath>
            </m:oMathPara>
          </w:p>
        </w:tc>
        <w:tc>
          <w:tcPr>
            <w:tcW w:w="3256" w:type="dxa"/>
            <w:tcBorders>
              <w:top w:val="nil"/>
              <w:bottom w:val="dashed" w:sz="4" w:space="0" w:color="auto"/>
            </w:tcBorders>
            <w:hideMark/>
          </w:tcPr>
          <w:p w:rsidR="00662C14" w:rsidRPr="00662C14" w:rsidRDefault="00662C14" w:rsidP="00662C14">
            <w:pPr>
              <w:rPr>
                <w:rFonts w:ascii="Times New Roman" w:eastAsia="Times New Roman" w:hAnsi="Times New Roman" w:cs="Times New Roman"/>
                <w:lang w:eastAsia="en-GB"/>
              </w:rPr>
            </w:pPr>
            <m:oMathPara>
              <m:oMath>
                <m:r>
                  <m:rPr>
                    <m:nor/>
                  </m:rPr>
                  <w:rPr>
                    <w:rFonts w:asciiTheme="majorBidi" w:hAnsiTheme="majorBidi" w:cstheme="majorBidi"/>
                    <w:bCs/>
                    <w:i/>
                  </w:rPr>
                  <m:t>​</m:t>
                </m:r>
                <m:r>
                  <m:rPr>
                    <m:nor/>
                  </m:rPr>
                  <w:rPr>
                    <w:rFonts w:ascii="Cambria Math" w:hAnsiTheme="majorBidi" w:cstheme="majorBidi"/>
                    <w:bCs/>
                    <w:i/>
                  </w:rPr>
                  <m:t xml:space="preserve"> </m:t>
                </m:r>
                <w:proofErr w:type="spellStart"/>
                <m:r>
                  <m:rPr>
                    <m:nor/>
                  </m:rPr>
                  <w:rPr>
                    <w:rFonts w:asciiTheme="majorBidi" w:hAnsiTheme="majorBidi" w:cstheme="majorBidi"/>
                    <w:bCs/>
                    <w:i/>
                  </w:rPr>
                  <m:t>arccos</m:t>
                </m:r>
                <w:proofErr w:type="spellEnd"/>
                <m:r>
                  <m:rPr>
                    <m:nor/>
                  </m:rPr>
                  <w:rPr>
                    <w:rFonts w:asciiTheme="majorBidi" w:hAnsiTheme="majorBidi" w:cstheme="majorBidi"/>
                    <w:bCs/>
                    <w:i/>
                  </w:rPr>
                  <m:t>(</m:t>
                </m:r>
                <m:f>
                  <m:fPr>
                    <m:ctrlPr>
                      <w:rPr>
                        <w:rFonts w:ascii="Cambria Math" w:hAnsi="Cambria Math" w:cstheme="majorBidi"/>
                        <w:bCs/>
                        <w:i/>
                      </w:rPr>
                    </m:ctrlPr>
                  </m:fPr>
                  <m:num>
                    <m:sSub>
                      <m:sSubPr>
                        <m:ctrlPr>
                          <w:rPr>
                            <w:rFonts w:ascii="Cambria Math" w:hAnsi="Cambria Math" w:cstheme="majorBidi"/>
                            <w:bCs/>
                            <w:i/>
                          </w:rPr>
                        </m:ctrlPr>
                      </m:sSubPr>
                      <m:e>
                        <m:r>
                          <m:rPr>
                            <m:nor/>
                          </m:rPr>
                          <w:rPr>
                            <w:rFonts w:asciiTheme="majorBidi" w:hAnsiTheme="majorBidi" w:cstheme="majorBidi"/>
                            <w:bCs/>
                            <w:i/>
                          </w:rPr>
                          <m:t>R</m:t>
                        </m:r>
                      </m:e>
                      <m:sub>
                        <w:proofErr w:type="spellStart"/>
                        <m:r>
                          <m:rPr>
                            <m:nor/>
                          </m:rPr>
                          <w:rPr>
                            <w:rFonts w:asciiTheme="majorBidi" w:hAnsiTheme="majorBidi" w:cstheme="majorBidi"/>
                            <w:bCs/>
                            <w:i/>
                          </w:rPr>
                          <m:t>i</m:t>
                        </m:r>
                        <w:proofErr w:type="spellEnd"/>
                      </m:sub>
                    </m:sSub>
                    <m:r>
                      <m:rPr>
                        <m:nor/>
                      </m:rPr>
                      <w:rPr>
                        <w:rFonts w:asciiTheme="majorBidi" w:hAnsiTheme="majorBidi" w:cstheme="majorBidi"/>
                        <w:bCs/>
                        <w:i/>
                      </w:rPr>
                      <m:t>.</m:t>
                    </m:r>
                    <m:sSub>
                      <m:sSubPr>
                        <m:ctrlPr>
                          <w:rPr>
                            <w:rFonts w:ascii="Cambria Math" w:hAnsi="Cambria Math" w:cstheme="majorBidi"/>
                            <w:bCs/>
                            <w:i/>
                          </w:rPr>
                        </m:ctrlPr>
                      </m:sSubPr>
                      <m:e>
                        <m:r>
                          <m:rPr>
                            <m:nor/>
                          </m:rPr>
                          <w:rPr>
                            <w:rFonts w:asciiTheme="majorBidi" w:hAnsiTheme="majorBidi" w:cstheme="majorBidi"/>
                            <w:bCs/>
                            <w:i/>
                          </w:rPr>
                          <m:t>R</m:t>
                        </m:r>
                      </m:e>
                      <m:sub>
                        <m:r>
                          <m:rPr>
                            <m:nor/>
                          </m:rPr>
                          <w:rPr>
                            <w:rFonts w:asciiTheme="majorBidi" w:hAnsiTheme="majorBidi" w:cstheme="majorBidi"/>
                            <w:bCs/>
                            <w:i/>
                          </w:rPr>
                          <m:t>j</m:t>
                        </m:r>
                      </m:sub>
                    </m:sSub>
                    <m:r>
                      <m:rPr>
                        <m:nor/>
                      </m:rPr>
                      <w:rPr>
                        <w:rFonts w:asciiTheme="majorBidi" w:hAnsiTheme="majorBidi" w:cstheme="majorBidi"/>
                        <w:bCs/>
                        <w:i/>
                      </w:rPr>
                      <m:t>​​</m:t>
                    </m:r>
                  </m:num>
                  <m:den>
                    <m:d>
                      <m:dPr>
                        <m:begChr m:val="‖"/>
                        <m:endChr m:val=""/>
                        <m:ctrlPr>
                          <w:rPr>
                            <w:rFonts w:ascii="Cambria Math" w:hAnsi="Cambria Math" w:cstheme="majorBidi"/>
                            <w:bCs/>
                            <w:i/>
                          </w:rPr>
                        </m:ctrlPr>
                      </m:dPr>
                      <m:e>
                        <m:sSub>
                          <m:sSubPr>
                            <m:ctrlPr>
                              <w:rPr>
                                <w:rFonts w:ascii="Cambria Math" w:hAnsi="Cambria Math" w:cstheme="majorBidi"/>
                                <w:bCs/>
                                <w:i/>
                              </w:rPr>
                            </m:ctrlPr>
                          </m:sSubPr>
                          <m:e>
                            <m:r>
                              <m:rPr>
                                <m:nor/>
                              </m:rPr>
                              <w:rPr>
                                <w:rFonts w:asciiTheme="majorBidi" w:hAnsiTheme="majorBidi" w:cstheme="majorBidi"/>
                                <w:bCs/>
                                <w:i/>
                              </w:rPr>
                              <m:t>R</m:t>
                            </m:r>
                          </m:e>
                          <m:sub>
                            <w:proofErr w:type="spellStart"/>
                            <m:r>
                              <m:rPr>
                                <m:nor/>
                              </m:rPr>
                              <w:rPr>
                                <w:rFonts w:asciiTheme="majorBidi" w:hAnsiTheme="majorBidi" w:cstheme="majorBidi"/>
                                <w:bCs/>
                                <w:i/>
                              </w:rPr>
                              <m:t>i</m:t>
                            </m:r>
                            <w:proofErr w:type="spellEnd"/>
                          </m:sub>
                        </m:sSub>
                      </m:e>
                    </m:d>
                    <m:r>
                      <m:rPr>
                        <m:nor/>
                      </m:rPr>
                      <w:rPr>
                        <w:rFonts w:asciiTheme="majorBidi" w:hAnsiTheme="majorBidi" w:cstheme="majorBidi"/>
                        <w:bCs/>
                        <w:i/>
                      </w:rPr>
                      <m:t>||.||</m:t>
                    </m:r>
                    <m:sSub>
                      <m:sSubPr>
                        <m:ctrlPr>
                          <w:rPr>
                            <w:rFonts w:ascii="Cambria Math" w:hAnsi="Cambria Math" w:cstheme="majorBidi"/>
                            <w:bCs/>
                            <w:i/>
                          </w:rPr>
                        </m:ctrlPr>
                      </m:sSubPr>
                      <m:e>
                        <m:r>
                          <m:rPr>
                            <m:nor/>
                          </m:rPr>
                          <w:rPr>
                            <w:rFonts w:asciiTheme="majorBidi" w:hAnsiTheme="majorBidi" w:cstheme="majorBidi"/>
                            <w:bCs/>
                            <w:i/>
                          </w:rPr>
                          <m:t>R</m:t>
                        </m:r>
                      </m:e>
                      <m:sub>
                        <m:r>
                          <m:rPr>
                            <m:nor/>
                          </m:rPr>
                          <w:rPr>
                            <w:rFonts w:asciiTheme="majorBidi" w:hAnsiTheme="majorBidi" w:cstheme="majorBidi"/>
                            <w:bCs/>
                            <w:i/>
                          </w:rPr>
                          <m:t>j</m:t>
                        </m:r>
                      </m:sub>
                    </m:sSub>
                    <m:r>
                      <m:rPr>
                        <m:nor/>
                      </m:rPr>
                      <w:rPr>
                        <w:rFonts w:asciiTheme="majorBidi" w:hAnsiTheme="majorBidi" w:cstheme="majorBidi"/>
                        <w:bCs/>
                        <w:i/>
                      </w:rPr>
                      <m:t>||</m:t>
                    </m:r>
                  </m:den>
                </m:f>
                <m:r>
                  <m:rPr>
                    <m:nor/>
                  </m:rPr>
                  <w:rPr>
                    <w:rFonts w:asciiTheme="majorBidi" w:hAnsiTheme="majorBidi" w:cstheme="majorBidi"/>
                    <w:bCs/>
                    <w:i/>
                  </w:rPr>
                  <m:t>)</m:t>
                </m:r>
                <m:r>
                  <m:rPr>
                    <m:nor/>
                  </m:rPr>
                  <w:rPr>
                    <w:rFonts w:ascii="Cambria Math" w:hAnsiTheme="majorBidi" w:cstheme="majorBidi"/>
                    <w:bCs/>
                    <w:i/>
                  </w:rPr>
                  <m:t>.</m:t>
                </m:r>
              </m:oMath>
            </m:oMathPara>
          </w:p>
        </w:tc>
        <w:tc>
          <w:tcPr>
            <w:tcW w:w="1457" w:type="dxa"/>
            <w:tcBorders>
              <w:top w:val="nil"/>
              <w:bottom w:val="dashed" w:sz="4" w:space="0" w:color="auto"/>
            </w:tcBorders>
            <w:hideMark/>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SimSun" w:hAnsi="Times New Roman" w:cs="Times New Roman"/>
              </w:rPr>
              <w:t>(</w:t>
            </w:r>
            <w:r w:rsidRPr="00662C14">
              <w:rPr>
                <w:rFonts w:ascii="Times New Roman" w:eastAsia="SimSun" w:hAnsi="Times New Roman" w:cs="Times New Roman"/>
              </w:rPr>
              <w:fldChar w:fldCharType="begin" w:fldLock="1"/>
            </w:r>
            <w:r w:rsidRPr="00662C14">
              <w:rPr>
                <w:rFonts w:ascii="Times New Roman" w:eastAsia="SimSun" w:hAnsi="Times New Roman" w:cs="Times New Roman"/>
              </w:rPr>
              <w:instrText>ADDIN CSL_CITATION {"citationItems":[{"id":"ITEM-1","itemData":{"DOI":"10.1016/0034-4257(93)90013-N","ISSN":"0034-4257","abstract":"The Center for the Study of Earth from Space (CSES) at the University of Colorado, Boulder, has developed a prototype interactive software system called the Spectral Image Processing System (SIPS) using IDL (the Interactive Data Language) on UNIX-based workstations. SIPS is designed to take advantage of the combination of high spectral resolution and spatial data presentation unique to imaging spectrometers. It streamlines analysis of these data by allowing scientists to rapidly interact with entire datasets. SIPS provides visualization tools for rapid exploratory analysis and numerical tools for quantitative modeling. The user interface is X-Windows-based, user friendly, and provides \"point and click\" operation. SIPS is being used for multidisciplinary research concentrating on use of physically based analysis methods to enhance scientific results from imaging spectrometer data. The objective of this continuing effort is to develop operational techniques for quantitative analysis of imaging spectrometer data and to make them available to the scientific community prior to the launch of imaging spectrometer satellite systems such as the Earth Observing System (EOS) High Resolution Imaging Spectrometer (HIRIS). © 1993.","author":[{"dropping-particle":"","family":"Kruse","given":"F. A.","non-dropping-particle":"","parse-names":false,"suffix":""},{"dropping-particle":"","family":"Lefkoff","given":"A. B.","non-dropping-particle":"","parse-names":false,"suffix":""},{"dropping-particle":"","family":"Boardman","given":"J. W.","non-dropping-particle":"","parse-names":false,"suffix":""},{"dropping-particle":"","family":"Heidebrecht","given":"K. B.","non-dropping-particle":"","parse-names":false,"suffix":""},{"dropping-particle":"","family":"Shapiro","given":"A. T.","non-dropping-particle":"","parse-names":false,"suffix":""},{"dropping-particle":"","family":"Barloon","given":"P. J.","non-dropping-particle":"","parse-names":false,"suffix":""},{"dropping-particle":"","family":"Goetz","given":"A. F.H.","non-dropping-particle":"","parse-names":false,"suffix":""}],"container-title":"Remote Sensing of Environment","id":"ITEM-1","issue":"2-3","issued":{"date-parts":[["1993","5","1"]]},"page":"145-163","publisher":"Elsevier","title":"The spectral image processing system (SIPS)—interactive visualization and analysis of imaging spectrometer data","type":"article-journal","volume":"44"},"uris":["http://www.mendeley.com/documents/?uuid=824cb122-1c2e-3deb-b6e3-56fe933b5530"]}],"mendeley":{"formattedCitation":"(Kruse et al., 1993)","manualFormatting":"Kruse et al., 1993","plainTextFormattedCitation":"(Kruse et al., 1993)","previouslyFormattedCitation":"(Kruse et al., 1993)"},"properties":{"noteIndex":0},"schema":"https://github.com/citation-style-language/schema/raw/master/csl-citation.json"}</w:instrText>
            </w:r>
            <w:r w:rsidRPr="00662C14">
              <w:rPr>
                <w:rFonts w:ascii="Times New Roman" w:eastAsia="SimSun" w:hAnsi="Times New Roman" w:cs="Times New Roman"/>
              </w:rPr>
              <w:fldChar w:fldCharType="separate"/>
            </w:r>
            <w:r w:rsidRPr="00662C14">
              <w:rPr>
                <w:rFonts w:ascii="Times New Roman" w:eastAsia="SimSun" w:hAnsi="Times New Roman" w:cs="Times New Roman"/>
                <w:noProof/>
              </w:rPr>
              <w:t>Kruse et al., 1993</w:t>
            </w:r>
            <w:r w:rsidRPr="00662C14">
              <w:rPr>
                <w:rFonts w:ascii="Times New Roman" w:eastAsia="SimSun" w:hAnsi="Times New Roman" w:cs="Times New Roman"/>
              </w:rPr>
              <w:fldChar w:fldCharType="end"/>
            </w:r>
            <w:r w:rsidRPr="00662C14">
              <w:rPr>
                <w:rFonts w:ascii="Times New Roman" w:eastAsia="SimSun" w:hAnsi="Times New Roman" w:cs="Times New Roman"/>
              </w:rPr>
              <w:t>)</w:t>
            </w:r>
          </w:p>
        </w:tc>
      </w:tr>
      <w:tr w:rsidR="00662C14" w:rsidRPr="00662C14" w:rsidTr="004E5A80">
        <w:tc>
          <w:tcPr>
            <w:tcW w:w="0" w:type="auto"/>
            <w:vMerge w:val="restart"/>
            <w:tcBorders>
              <w:top w:val="nil"/>
              <w:bottom w:val="nil"/>
            </w:tcBorders>
            <w:textDirection w:val="btLr"/>
          </w:tcPr>
          <w:p w:rsidR="00662C14" w:rsidRPr="00662C14" w:rsidRDefault="00662C14" w:rsidP="00662C14">
            <w:pPr>
              <w:ind w:left="113" w:right="113"/>
              <w:jc w:val="center"/>
              <w:rPr>
                <w:rFonts w:asciiTheme="majorBidi" w:hAnsiTheme="majorBidi" w:cstheme="majorBidi"/>
                <w:sz w:val="24"/>
                <w:szCs w:val="24"/>
              </w:rPr>
            </w:pPr>
            <w:r w:rsidRPr="00662C14">
              <w:rPr>
                <w:rFonts w:asciiTheme="majorBidi" w:hAnsiTheme="majorBidi" w:cstheme="majorBidi"/>
                <w:sz w:val="24"/>
                <w:szCs w:val="24"/>
              </w:rPr>
              <w:t>Vegetation Indices</w:t>
            </w:r>
          </w:p>
        </w:tc>
        <w:tc>
          <w:tcPr>
            <w:tcW w:w="2097" w:type="dxa"/>
            <w:tcBorders>
              <w:top w:val="dashed" w:sz="4" w:space="0" w:color="auto"/>
            </w:tcBorders>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Normalized Difference Vegetation Index</w:t>
            </w:r>
          </w:p>
        </w:tc>
        <w:tc>
          <w:tcPr>
            <w:tcW w:w="1052" w:type="dxa"/>
            <w:tcBorders>
              <w:top w:val="dashed" w:sz="4" w:space="0" w:color="auto"/>
            </w:tcBorders>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NDVI</w:t>
            </w:r>
          </w:p>
        </w:tc>
        <w:tc>
          <w:tcPr>
            <w:tcW w:w="3256" w:type="dxa"/>
            <w:tcBorders>
              <w:top w:val="dashed" w:sz="4" w:space="0" w:color="auto"/>
            </w:tcBorders>
          </w:tcPr>
          <w:p w:rsidR="00662C14" w:rsidRPr="00662C14" w:rsidRDefault="00DB6E26" w:rsidP="00662C14">
            <w:pPr>
              <w:jc w:val="both"/>
              <w:rPr>
                <w:rFonts w:asciiTheme="majorBidi" w:hAnsiTheme="majorBidi" w:cstheme="majorBidi"/>
              </w:rPr>
            </w:pPr>
            <m:oMathPara>
              <m:oMath>
                <m:f>
                  <m:fPr>
                    <m:ctrlPr>
                      <w:rPr>
                        <w:rFonts w:ascii="Cambria Math" w:hAnsi="Cambria Math" w:cstheme="majorBidi"/>
                        <w:i/>
                      </w:rPr>
                    </m:ctrlPr>
                  </m:fPr>
                  <m:num>
                    <m:r>
                      <w:rPr>
                        <w:rFonts w:ascii="Cambria Math" w:hAnsi="Cambria Math" w:cstheme="majorBidi"/>
                      </w:rPr>
                      <m:t>NIR-R</m:t>
                    </m:r>
                  </m:num>
                  <m:den>
                    <m:r>
                      <w:rPr>
                        <w:rFonts w:ascii="Cambria Math" w:hAnsi="Cambria Math" w:cstheme="majorBidi"/>
                      </w:rPr>
                      <m:t>NIR+R</m:t>
                    </m:r>
                  </m:den>
                </m:f>
              </m:oMath>
            </m:oMathPara>
          </w:p>
        </w:tc>
        <w:tc>
          <w:tcPr>
            <w:tcW w:w="1457" w:type="dxa"/>
            <w:tcBorders>
              <w:top w:val="dashed" w:sz="4" w:space="0" w:color="auto"/>
            </w:tcBorders>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fldChar w:fldCharType="begin" w:fldLock="1"/>
            </w:r>
            <w:r w:rsidRPr="00662C14">
              <w:rPr>
                <w:rFonts w:asciiTheme="majorBidi" w:hAnsiTheme="majorBidi" w:cstheme="majorBidi"/>
              </w:rPr>
              <w:instrText>ADDIN CSL_CITATION {"citationItems":[{"id":"ITEM-1","itemData":{"author":[{"dropping-particle":"","family":"Rouse","given":"JW","non-dropping-particle":"","parse-names":false,"suffix":""},{"dropping-particle":"","family":"Haas","given":"RH","non-dropping-particle":"","parse-names":false,"suffix":""},{"dropping-particle":"","family":"Schell","given":"JA","non-dropping-particle":"","parse-names":false,"suffix":""},{"dropping-particle":"","family":"Publ","given":"DW Deering - NASA Spec.","non-dropping-particle":"","parse-names":false,"suffix":""},{"dropping-particle":"","family":"1974","given":"undefined","non-dropping-particle":"","parse-names":false,"suffix":""}],"container-title":"books.google.comJW Rouse, RH Haas, JA Schell, DW DeeringNASA Spec. Publ, 1974•books.google.com","id":"ITEM-1","issued":{"date-parts":[["0"]]},"title":"Monitoring vegetation systems in the Great Plains with ERTS","type":"article-journal"},"uris":["http://www.mendeley.com/documents/?uuid=2680b80d-85c5-3a7a-a6aa-69c5ec7b4ad5"]}],"mendeley":{"formattedCitation":"(Rouse et al., n.d.)","manualFormatting":"(Rouse et al., 1973)","plainTextFormattedCitation":"(Rouse et al., n.d.)","previouslyFormattedCitation":"(Rouse et al., n.d.)"},"properties":{"noteIndex":0},"schema":"https://github.com/citation-style-language/schema/raw/master/csl-citation.json"}</w:instrText>
            </w:r>
            <w:r w:rsidRPr="00662C14">
              <w:rPr>
                <w:rFonts w:asciiTheme="majorBidi" w:hAnsiTheme="majorBidi" w:cstheme="majorBidi"/>
              </w:rPr>
              <w:fldChar w:fldCharType="separate"/>
            </w:r>
            <w:r w:rsidRPr="00662C14">
              <w:rPr>
                <w:rFonts w:asciiTheme="majorBidi" w:hAnsiTheme="majorBidi" w:cstheme="majorBidi"/>
                <w:noProof/>
              </w:rPr>
              <w:t>(Rouse et al., 1973)</w:t>
            </w:r>
            <w:r w:rsidRPr="00662C14">
              <w:rPr>
                <w:rFonts w:asciiTheme="majorBidi" w:hAnsiTheme="majorBidi" w:cstheme="majorBidi"/>
              </w:rPr>
              <w:fldChar w:fldCharType="end"/>
            </w:r>
          </w:p>
        </w:tc>
      </w:tr>
      <w:tr w:rsidR="00662C14" w:rsidRPr="00662C14" w:rsidTr="004E5A80">
        <w:tc>
          <w:tcPr>
            <w:tcW w:w="0" w:type="auto"/>
            <w:vMerge/>
            <w:tcBorders>
              <w:top w:val="nil"/>
              <w:bottom w:val="nil"/>
            </w:tcBorders>
          </w:tcPr>
          <w:p w:rsidR="00662C14" w:rsidRPr="00662C14" w:rsidRDefault="00662C14" w:rsidP="00662C14">
            <w:pPr>
              <w:jc w:val="both"/>
              <w:rPr>
                <w:rFonts w:asciiTheme="majorBidi" w:hAnsiTheme="majorBidi" w:cstheme="majorBidi"/>
                <w:sz w:val="24"/>
                <w:szCs w:val="24"/>
              </w:rPr>
            </w:pPr>
          </w:p>
        </w:tc>
        <w:tc>
          <w:tcPr>
            <w:tcW w:w="2097"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Green NDVI</w:t>
            </w:r>
          </w:p>
        </w:tc>
        <w:tc>
          <w:tcPr>
            <w:tcW w:w="1052"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GNDVI</w:t>
            </w:r>
          </w:p>
        </w:tc>
        <w:tc>
          <w:tcPr>
            <w:tcW w:w="3256" w:type="dxa"/>
          </w:tcPr>
          <w:p w:rsidR="00662C14" w:rsidRPr="00662C14" w:rsidRDefault="00DB6E26" w:rsidP="00662C14">
            <w:pPr>
              <w:jc w:val="both"/>
              <w:rPr>
                <w:rFonts w:asciiTheme="majorBidi" w:hAnsiTheme="majorBidi" w:cstheme="majorBidi"/>
              </w:rPr>
            </w:pPr>
            <m:oMathPara>
              <m:oMath>
                <m:f>
                  <m:fPr>
                    <m:ctrlPr>
                      <w:rPr>
                        <w:rFonts w:ascii="Cambria Math" w:hAnsi="Cambria Math" w:cstheme="majorBidi"/>
                        <w:i/>
                      </w:rPr>
                    </m:ctrlPr>
                  </m:fPr>
                  <m:num>
                    <m:r>
                      <w:rPr>
                        <w:rFonts w:ascii="Cambria Math" w:hAnsi="Cambria Math" w:cstheme="majorBidi"/>
                      </w:rPr>
                      <m:t>NIR-G</m:t>
                    </m:r>
                  </m:num>
                  <m:den>
                    <m:r>
                      <w:rPr>
                        <w:rFonts w:ascii="Cambria Math" w:hAnsi="Cambria Math" w:cstheme="majorBidi"/>
                      </w:rPr>
                      <m:t>NIR+G</m:t>
                    </m:r>
                  </m:den>
                </m:f>
              </m:oMath>
            </m:oMathPara>
          </w:p>
        </w:tc>
        <w:tc>
          <w:tcPr>
            <w:tcW w:w="1457" w:type="dxa"/>
          </w:tcPr>
          <w:p w:rsidR="00662C14" w:rsidRPr="00662C14" w:rsidRDefault="00662C14" w:rsidP="00662C14">
            <w:pPr>
              <w:jc w:val="center"/>
              <w:rPr>
                <w:rFonts w:asciiTheme="majorBidi" w:hAnsiTheme="majorBidi" w:cstheme="majorBidi"/>
                <w:szCs w:val="24"/>
                <w:lang w:val="es-ES"/>
              </w:rPr>
            </w:pPr>
            <w:r w:rsidRPr="00662C14">
              <w:rPr>
                <w:rFonts w:asciiTheme="majorBidi" w:hAnsiTheme="majorBidi" w:cstheme="majorBidi"/>
              </w:rPr>
              <w:fldChar w:fldCharType="begin" w:fldLock="1"/>
            </w:r>
            <w:r w:rsidRPr="00662C14">
              <w:rPr>
                <w:rFonts w:asciiTheme="majorBidi" w:hAnsiTheme="majorBidi" w:cstheme="majorBidi"/>
              </w:rPr>
              <w:instrText xml:space="preserve">ADDIN CSL_CITATION {"citationItems":[{"id":"ITEM-1","itemData":{"DOI":"10.1016/S0034-4257(96)00072-7","ISSN":"0034-4257","abstract":"Most animals use a 'green' spectral range to remotely sense the presence and vitality of vegetation. While humans possess the same ability in their eyes, man-made space-borne sensors that sense evolution of global vegetation, have so far used a combination of the red and near infrared channels instead. In this article we challenge this approach, using measurements of reflectance spectra from 400 nm to 750 nm with spectral resolution of 2 nm, with simultaneous determination of pigment concentrations of mature and autumn senescing leaves. We show that, for a wide range of leaf greenness, the maximum sensitivity of reflectance coincides with the red absorption maximum of chlorophyll-a (Chl-a) at 670 nm. However, for yellow-green to green leaves (with Chl-a more than 3-5 μg/cm2), the reflectance near 670 nm is not sensitive to chlorophyll concentration because of saturation of the relationship of absorptions versus chlorophyll concentration. Maximum sensitivity of Chl-a concentration for a wide range of its variation (0.3-45 μg/cm2) was found, not surprisingly so, around the green hand from 520 nm to 630 nm and also near 700 nm. We found that the inverse of the reflectance in the green band was proportional to Chl-a concentration with correlation r2 &gt; 0.95. This band will be present on several future satellite sensors with a global view of vegetation (SeaWiFS to be launched in 1996, Polder on ADEOS-1 also in 1996, and MODIS on EOS in 1998 and 2000). New indexes that use the green channel and are resistant to atmospheric effects are developed. A green NDVI = (ρ(nir) - ρ(green))/(ρ(nir) ± ρ(green)) was tested for a range of Chl-a from 0.3 μg/cm2 to 45 μg/cm2, and found to have an error in the chlorophyll a derivation at leaf level of less than 3 μg/cm2. The new index has wider dynamic range than the NDVI and is, on overage, at least five times more sensitive to Chl-a concentration. A green atmospherically resistant vegetation index (GARI), tailored on the concept </w:instrText>
            </w:r>
            <w:r w:rsidRPr="00662C14">
              <w:rPr>
                <w:rFonts w:asciiTheme="majorBidi" w:hAnsiTheme="majorBidi" w:cstheme="majorBidi"/>
                <w:szCs w:val="24"/>
                <w:lang w:val="es-ES"/>
              </w:rPr>
              <w:instrText>of ARVI (Kaufman and Tanre, 1992), is developed and is expected to be a resistant to atmospheric effects as ARVI but more sensitive to a wide range of Chl-a concentrations. While NDVI and ARVI are sensitive to vegetation fraction and to rate of absorption of photosynthetic solar radiation, a green vegetation index like GARI should be added to sense the concentration of chlorophyll, to measure the rate of photosynthesis and to monitor plant stress.","author":[{"dropping-particle":"","family":"Gitelson","given":"Anatoly A.","non-dropping-particle":"","parse-names":false,"suffix":""},{"dropping-particle":"","family":"Kaufman","given":"Yoram J.","non-dropping-particle":"","parse-names":false,"suffix":""},{"dropping-particle":"","family":"Merzlyak","given":"Mark N.","non-dropping-particle":"","parse-names":false,"suffix":""}],"container-title":"Remote Sensing of Environment","id":"ITEM-1","issue":"3","issued":{"date-parts":[["1996","12","1"]]},"page":"289-298","publisher":"Elsevier","title":"Use of a green channel in remote sensing of global vegetation from EOS-MODIS","type":"article-journal","volume":"58"},"uris":["http://www.mendeley.com/documents/?uuid=5bf55181-319a-32a7-a69a-2d378007d0c0"]}],"mendeley":{"formattedCitation":"(Gitelson et al., 1996)","plainTextFormattedCitation":"(Gitelson et al., 1996)","previouslyFormattedCitation":"(Gitelson et al., 1996)"},"properties":{"noteIndex":0},"schema":"https://github.com/citation-style-language/schema/raw/master/csl-citation.json"}</w:instrText>
            </w:r>
            <w:r w:rsidRPr="00662C14">
              <w:rPr>
                <w:rFonts w:asciiTheme="majorBidi" w:hAnsiTheme="majorBidi" w:cstheme="majorBidi"/>
              </w:rPr>
              <w:fldChar w:fldCharType="separate"/>
            </w:r>
            <w:r w:rsidRPr="00662C14">
              <w:rPr>
                <w:rFonts w:asciiTheme="majorBidi" w:hAnsiTheme="majorBidi" w:cstheme="majorBidi"/>
                <w:noProof/>
                <w:szCs w:val="24"/>
                <w:lang w:val="es-ES"/>
              </w:rPr>
              <w:t>(Gitelson et al., 1996)</w:t>
            </w:r>
            <w:r w:rsidRPr="00662C14">
              <w:rPr>
                <w:rFonts w:asciiTheme="majorBidi" w:hAnsiTheme="majorBidi" w:cstheme="majorBidi"/>
              </w:rPr>
              <w:fldChar w:fldCharType="end"/>
            </w:r>
          </w:p>
        </w:tc>
      </w:tr>
      <w:tr w:rsidR="00662C14" w:rsidRPr="00662C14" w:rsidTr="004E5A80">
        <w:tc>
          <w:tcPr>
            <w:tcW w:w="0" w:type="auto"/>
            <w:vMerge/>
            <w:tcBorders>
              <w:top w:val="nil"/>
              <w:bottom w:val="nil"/>
            </w:tcBorders>
          </w:tcPr>
          <w:p w:rsidR="00662C14" w:rsidRPr="00662C14" w:rsidRDefault="00662C14" w:rsidP="00662C14">
            <w:pPr>
              <w:jc w:val="both"/>
              <w:rPr>
                <w:rFonts w:asciiTheme="majorBidi" w:hAnsiTheme="majorBidi" w:cstheme="majorBidi"/>
                <w:sz w:val="24"/>
                <w:szCs w:val="24"/>
                <w:lang w:val="es-ES"/>
              </w:rPr>
            </w:pPr>
          </w:p>
        </w:tc>
        <w:tc>
          <w:tcPr>
            <w:tcW w:w="2097" w:type="dxa"/>
          </w:tcPr>
          <w:p w:rsidR="00662C14" w:rsidRPr="00662C14" w:rsidRDefault="00662C14" w:rsidP="00662C14">
            <w:pPr>
              <w:jc w:val="center"/>
              <w:rPr>
                <w:rFonts w:asciiTheme="majorBidi" w:hAnsiTheme="majorBidi" w:cstheme="majorBidi"/>
                <w:szCs w:val="24"/>
                <w:lang w:val="es-ES"/>
              </w:rPr>
            </w:pPr>
            <w:r w:rsidRPr="00662C14">
              <w:rPr>
                <w:rFonts w:asciiTheme="majorBidi" w:hAnsiTheme="majorBidi" w:cstheme="majorBidi"/>
                <w:szCs w:val="24"/>
                <w:lang w:val="es-ES"/>
              </w:rPr>
              <w:t>Red-</w:t>
            </w:r>
            <w:proofErr w:type="spellStart"/>
            <w:r w:rsidRPr="00662C14">
              <w:rPr>
                <w:rFonts w:asciiTheme="majorBidi" w:hAnsiTheme="majorBidi" w:cstheme="majorBidi"/>
                <w:szCs w:val="24"/>
                <w:lang w:val="es-ES"/>
              </w:rPr>
              <w:t>edge</w:t>
            </w:r>
            <w:proofErr w:type="spellEnd"/>
            <w:r w:rsidRPr="00662C14">
              <w:rPr>
                <w:rFonts w:asciiTheme="majorBidi" w:hAnsiTheme="majorBidi" w:cstheme="majorBidi"/>
                <w:szCs w:val="24"/>
                <w:lang w:val="es-ES"/>
              </w:rPr>
              <w:t xml:space="preserve"> NDVI</w:t>
            </w:r>
          </w:p>
        </w:tc>
        <w:tc>
          <w:tcPr>
            <w:tcW w:w="1052" w:type="dxa"/>
          </w:tcPr>
          <w:p w:rsidR="00662C14" w:rsidRPr="00662C14" w:rsidRDefault="00662C14" w:rsidP="00662C14">
            <w:pPr>
              <w:jc w:val="center"/>
              <w:rPr>
                <w:rFonts w:asciiTheme="majorBidi" w:hAnsiTheme="majorBidi" w:cstheme="majorBidi"/>
                <w:szCs w:val="24"/>
                <w:lang w:val="es-ES"/>
              </w:rPr>
            </w:pPr>
            <w:r w:rsidRPr="00662C14">
              <w:rPr>
                <w:rFonts w:asciiTheme="majorBidi" w:hAnsiTheme="majorBidi" w:cstheme="majorBidi"/>
                <w:szCs w:val="24"/>
                <w:lang w:val="es-ES"/>
              </w:rPr>
              <w:t>NDRE</w:t>
            </w:r>
          </w:p>
        </w:tc>
        <w:tc>
          <w:tcPr>
            <w:tcW w:w="3256" w:type="dxa"/>
          </w:tcPr>
          <w:p w:rsidR="00662C14" w:rsidRPr="00662C14" w:rsidRDefault="00DB6E26" w:rsidP="00662C14">
            <w:pPr>
              <w:jc w:val="both"/>
              <w:rPr>
                <w:rFonts w:asciiTheme="majorBidi" w:hAnsiTheme="majorBidi" w:cstheme="majorBidi"/>
                <w:szCs w:val="24"/>
                <w:lang w:val="es-ES"/>
              </w:rPr>
            </w:pPr>
            <m:oMathPara>
              <m:oMath>
                <m:f>
                  <m:fPr>
                    <m:ctrlPr>
                      <w:rPr>
                        <w:rFonts w:ascii="Cambria Math" w:hAnsi="Cambria Math" w:cstheme="majorBidi"/>
                        <w:i/>
                      </w:rPr>
                    </m:ctrlPr>
                  </m:fPr>
                  <m:num>
                    <m:r>
                      <w:rPr>
                        <w:rFonts w:ascii="Cambria Math" w:hAnsi="Cambria Math" w:cstheme="majorBidi"/>
                      </w:rPr>
                      <m:t>NIR</m:t>
                    </m:r>
                    <m:r>
                      <w:rPr>
                        <w:rFonts w:ascii="Cambria Math" w:hAnsi="Cambria Math" w:cstheme="majorBidi"/>
                        <w:szCs w:val="24"/>
                      </w:rPr>
                      <m:t>-</m:t>
                    </m:r>
                    <m:r>
                      <w:rPr>
                        <w:rFonts w:ascii="Cambria Math" w:hAnsi="Cambria Math" w:cstheme="majorBidi"/>
                      </w:rPr>
                      <m:t>RE</m:t>
                    </m:r>
                  </m:num>
                  <m:den>
                    <m:r>
                      <w:rPr>
                        <w:rFonts w:ascii="Cambria Math" w:hAnsi="Cambria Math" w:cstheme="majorBidi"/>
                      </w:rPr>
                      <m:t>NIR</m:t>
                    </m:r>
                    <m:r>
                      <w:rPr>
                        <w:rFonts w:ascii="Cambria Math" w:hAnsi="Cambria Math" w:cstheme="majorBidi"/>
                        <w:szCs w:val="24"/>
                      </w:rPr>
                      <m:t>+</m:t>
                    </m:r>
                    <m:r>
                      <w:rPr>
                        <w:rFonts w:ascii="Cambria Math" w:hAnsi="Cambria Math" w:cstheme="majorBidi"/>
                      </w:rPr>
                      <m:t>RE</m:t>
                    </m:r>
                  </m:den>
                </m:f>
              </m:oMath>
            </m:oMathPara>
          </w:p>
        </w:tc>
        <w:tc>
          <w:tcPr>
            <w:tcW w:w="1457"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fldChar w:fldCharType="begin" w:fldLock="1"/>
            </w:r>
            <w:r w:rsidRPr="00662C14">
              <w:rPr>
                <w:rFonts w:asciiTheme="majorBidi" w:hAnsiTheme="majorBidi" w:cstheme="majorBidi"/>
                <w:szCs w:val="24"/>
                <w:lang w:val="es-ES"/>
              </w:rPr>
              <w:instrText xml:space="preserve">ADDIN CSL_CITATION {"citationItems":[{"id":"ITEM-1","itemData":{"DOI":"10.1016/S0176-1617(11)81633-0","ISSN":"01761617","abstract":"The reflectance spectra of adaxial surfaces of Aesculus hippocastanum L. and Acer platanoides L. leaves in the course of autumn pigment transformation were recorded. A dramatic decrease in and almost complete disappearance of chlorophyll (Chl) gave an opportunity for the investigation of relations between the reflectance changes and the pigment concentrations. The signature analysis of reflectance spectra indicated that in the green to yellow leaves of both species the maximal standard deviation of reflectance coincided with the red absorption maximum of Chla. However, within the leaves with high Chl, minimal sensitivity to pigment variations was observed at 675 nm. The maximal standard deviations were found near 550 to 560 and 700 to 710 nm. The revealed spectral features can serve as sensitive indicators of early stages of leaf senescence. The several functions of reflectance were found to be directly proportional to Chl (a square of correlation coefficient of more than 0.97); that allows an assessment of the pigment concentration ranging from 0.5 to 27.5 nmol/cm2 with an estimation error of less than 1.5 nmol/cm2. This makes its possible to precisely determine Chla with a background of variable and high pigment concentration. © 1994, Gustav Fischer Verlag, Stuttgart. All </w:instrText>
            </w:r>
            <w:r w:rsidRPr="00662C14">
              <w:rPr>
                <w:rFonts w:asciiTheme="majorBidi" w:hAnsiTheme="majorBidi" w:cstheme="majorBidi"/>
              </w:rPr>
              <w:instrText>rights reserved.","author":[{"dropping-particle":"","family":"Gitelson","given":"A","non-dropping-particle":"","parse-names":false,"suffix":""},{"dropping-particle":"","family":"physiology","given":"MN Merzlyak - Journal of plant","non-dropping-particle":"","parse-names":false,"suffix":""},{"dropping-particle":"","family":"1994","given":"undefined","non-dropping-particle":"","parse-names":false,"suffix":""}],"container-title":"Elsevier","id":"ITEM-1","issue":"3","issued":{"date-parts":[["1994"]]},"page":"286-292","title":"Spectral reflectance changes associated with autumn senescence of Aesculus hippocastanum L. and Acer platanoides L. leaves. Spectral features and relation to","type":"article-journal","volume":"143"},"uris":["http://www.mendeley.com/documents/?uuid=a0813f3d-863c-311c-99a4-ca644f45e060"]}],"mendeley":{"formattedCitation":"(Gitelson et al., 1994)","plainTextFormattedCitation":"(Gitelson et al., 1994)","previouslyFormattedCitation":"(Gitelson et al., 1994)"},"properties":{"noteIndex":0},"schema":"https://github.com/citation-style-language/schema/raw/master/csl-citation.json"}</w:instrText>
            </w:r>
            <w:r w:rsidRPr="00662C14">
              <w:rPr>
                <w:rFonts w:asciiTheme="majorBidi" w:hAnsiTheme="majorBidi" w:cstheme="majorBidi"/>
              </w:rPr>
              <w:fldChar w:fldCharType="separate"/>
            </w:r>
            <w:r w:rsidRPr="00662C14">
              <w:rPr>
                <w:rFonts w:asciiTheme="majorBidi" w:hAnsiTheme="majorBidi" w:cstheme="majorBidi"/>
                <w:noProof/>
              </w:rPr>
              <w:t>(Gitelson et al., 1994)</w:t>
            </w:r>
            <w:r w:rsidRPr="00662C14">
              <w:rPr>
                <w:rFonts w:asciiTheme="majorBidi" w:hAnsiTheme="majorBidi" w:cstheme="majorBidi"/>
              </w:rPr>
              <w:fldChar w:fldCharType="end"/>
            </w:r>
          </w:p>
        </w:tc>
      </w:tr>
      <w:tr w:rsidR="00662C14" w:rsidRPr="00662C14" w:rsidTr="004E5A80">
        <w:tc>
          <w:tcPr>
            <w:tcW w:w="0" w:type="auto"/>
            <w:vMerge/>
            <w:tcBorders>
              <w:top w:val="nil"/>
              <w:bottom w:val="nil"/>
            </w:tcBorders>
          </w:tcPr>
          <w:p w:rsidR="00662C14" w:rsidRPr="00662C14" w:rsidRDefault="00662C14" w:rsidP="00662C14">
            <w:pPr>
              <w:jc w:val="both"/>
              <w:rPr>
                <w:rFonts w:asciiTheme="majorBidi" w:hAnsiTheme="majorBidi" w:cstheme="majorBidi"/>
                <w:sz w:val="24"/>
                <w:szCs w:val="24"/>
              </w:rPr>
            </w:pPr>
          </w:p>
        </w:tc>
        <w:tc>
          <w:tcPr>
            <w:tcW w:w="2097"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Enhanced Vegetation Index</w:t>
            </w:r>
          </w:p>
        </w:tc>
        <w:tc>
          <w:tcPr>
            <w:tcW w:w="1052"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EVI</w:t>
            </w:r>
          </w:p>
        </w:tc>
        <w:tc>
          <w:tcPr>
            <w:tcW w:w="3256" w:type="dxa"/>
          </w:tcPr>
          <w:p w:rsidR="00662C14" w:rsidRPr="00662C14" w:rsidRDefault="00662C14" w:rsidP="00662C14">
            <w:pPr>
              <w:jc w:val="both"/>
              <w:rPr>
                <w:rFonts w:asciiTheme="majorBidi" w:hAnsiTheme="majorBidi" w:cstheme="majorBidi"/>
              </w:rPr>
            </w:pPr>
            <m:oMathPara>
              <m:oMath>
                <m:r>
                  <w:rPr>
                    <w:rFonts w:ascii="Cambria Math" w:hAnsi="Cambria Math" w:cstheme="majorBidi"/>
                  </w:rPr>
                  <m:t xml:space="preserve">2.5 </m:t>
                </m:r>
                <m:f>
                  <m:fPr>
                    <m:ctrlPr>
                      <w:rPr>
                        <w:rFonts w:ascii="Cambria Math" w:hAnsi="Cambria Math" w:cstheme="majorBidi"/>
                        <w:i/>
                      </w:rPr>
                    </m:ctrlPr>
                  </m:fPr>
                  <m:num>
                    <m:r>
                      <w:rPr>
                        <w:rFonts w:ascii="Cambria Math" w:hAnsi="Cambria Math" w:cstheme="majorBidi"/>
                      </w:rPr>
                      <m:t>NIR-R</m:t>
                    </m:r>
                  </m:num>
                  <m:den>
                    <m:r>
                      <w:rPr>
                        <w:rFonts w:ascii="Cambria Math" w:hAnsi="Cambria Math" w:cstheme="majorBidi"/>
                      </w:rPr>
                      <m:t>NIR+6R-7.5 B+1</m:t>
                    </m:r>
                  </m:den>
                </m:f>
              </m:oMath>
            </m:oMathPara>
          </w:p>
        </w:tc>
        <w:tc>
          <w:tcPr>
            <w:tcW w:w="1457"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fldChar w:fldCharType="begin" w:fldLock="1"/>
            </w:r>
            <w:r w:rsidRPr="00662C14">
              <w:rPr>
                <w:rFonts w:asciiTheme="majorBidi" w:hAnsiTheme="majorBidi" w:cstheme="majorBidi"/>
                <w:lang w:val="de-DE"/>
              </w:rPr>
              <w:instrText>ADDIN CSL_CITATION {"citationItems":[{"id":"ITEM-1","itemData":{"abstract":"We evaluated the initial 12 months of vegetation index product availability from the Moderate Resolution Imaging Spectroradiometer (MODIS) on board the Earth Observing System-Terra platform. Two MODIS vegetation indices (VI), the normalized difference vegetation index (NDVI) and enhanced vegetation index (EVI), are produced at 1-km and 500-m resolutions and 16-day compositing periods. This paper presents an initial analysis of the MODIS NDVI and EVI performance from both radiometric and biophysical perspectives. We utilize a combination of site-intensive and regionally extensive approaches to demonstrate the performance and validity of the two indices. Our results showed a good correspondence between airborne-measured, top-of-canopy reflectances and VI values with those from the MODIS sensor at four intensively measured test sites representing semi-arid grass/shrub, savanna, and tropical forest biomes. Simultaneously derived field biophysical measures also demonstrated the scientific utility of the MODIS VI. Multitemporal profiles of the MODIS VIs over numerous biome types in North and South America well represented their seasonal phenologies. Comparisons of the MODIS-NDVI with the NOAA-14, 1-km AVHRR-NDVI temporal profiles showed that the MODIS-based index performed with higher fidelity. The dynamic range of the MODIS VIs are presented and their sensitivities in discriminating vegetation differences are evaluated in sparse and dens</w:instrText>
            </w:r>
            <w:r w:rsidRPr="00662C14">
              <w:rPr>
                <w:rFonts w:asciiTheme="majorBidi" w:hAnsiTheme="majorBidi" w:cstheme="majorBidi"/>
              </w:rPr>
              <w:instrText>e vegetation areas. We found the NDVI to asymptotically saturate in high biomass regions such as in the Amazon while the EVI remained sensitive to canopy variations.","author":[{"dropping-particle":"","family":"Huete","given":"A","non-dropping-particle":"","parse-names":false,"suffix":""},{"dropping-particle":"","family":"Didan","given":"K","non-dropping-particle":"","parse-names":false,"suffix":""},{"dropping-particle":"","family":"Miura","given":"T","non-dropping-particle":"","parse-names":false,"suffix":""},{"dropping-particle":"","family":"Rodriguez","given":"EP","non-dropping-particle":"","parse-names":false,"suffix":""},{"dropping-particle":"","family":"…","given":"X Gao - Remote sensing of","non-dropping-particle":"","parse-names":false,"suffix":""},{"dropping-particle":"","family":"2002","given":"undefined","non-dropping-particle":"","parse-names":false,"suffix":""}],"container-title":"Elsevier","id":"ITEM-1","issued":{"date-parts":[["0"]]},"title":"Overview of the radiometric and biophysical performance of the MODIS vegetation indices","type":"article-journal"},"uris":["http://www.mendeley.com/documents/?uuid=c3ecae56-232c-3147-b079-d9b2832a1473"]}],"mendeley":{"formattedCitation":"(Huete et al., n.d.)","manualFormatting":"(Huete et al., 2002)","plainTextFormattedCitation":"(Huete et al., n.d.)","previouslyFormattedCitation":"(Huete et al., n.d.)"},"properties":{"noteIndex":0},"schema":"https://github.com/citation-style-language/schema/raw/master/csl-citation.json"}</w:instrText>
            </w:r>
            <w:r w:rsidRPr="00662C14">
              <w:rPr>
                <w:rFonts w:asciiTheme="majorBidi" w:hAnsiTheme="majorBidi" w:cstheme="majorBidi"/>
              </w:rPr>
              <w:fldChar w:fldCharType="separate"/>
            </w:r>
            <w:r w:rsidRPr="00662C14">
              <w:rPr>
                <w:rFonts w:asciiTheme="majorBidi" w:hAnsiTheme="majorBidi" w:cstheme="majorBidi"/>
                <w:noProof/>
              </w:rPr>
              <w:t>(Huete et al., 2002)</w:t>
            </w:r>
            <w:r w:rsidRPr="00662C14">
              <w:rPr>
                <w:rFonts w:asciiTheme="majorBidi" w:hAnsiTheme="majorBidi" w:cstheme="majorBidi"/>
              </w:rPr>
              <w:fldChar w:fldCharType="end"/>
            </w:r>
          </w:p>
        </w:tc>
      </w:tr>
      <w:tr w:rsidR="00662C14" w:rsidRPr="00662C14" w:rsidTr="004E5A80">
        <w:tc>
          <w:tcPr>
            <w:tcW w:w="0" w:type="auto"/>
            <w:vMerge/>
            <w:tcBorders>
              <w:top w:val="nil"/>
              <w:bottom w:val="nil"/>
            </w:tcBorders>
          </w:tcPr>
          <w:p w:rsidR="00662C14" w:rsidRPr="00662C14" w:rsidRDefault="00662C14" w:rsidP="00662C14">
            <w:pPr>
              <w:jc w:val="both"/>
              <w:rPr>
                <w:rFonts w:asciiTheme="majorBidi" w:hAnsiTheme="majorBidi" w:cstheme="majorBidi"/>
                <w:sz w:val="24"/>
                <w:szCs w:val="24"/>
              </w:rPr>
            </w:pPr>
          </w:p>
        </w:tc>
        <w:tc>
          <w:tcPr>
            <w:tcW w:w="2097"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Soil-Adjusted Vegetation Index</w:t>
            </w:r>
          </w:p>
        </w:tc>
        <w:tc>
          <w:tcPr>
            <w:tcW w:w="1052"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SAVI</w:t>
            </w:r>
          </w:p>
        </w:tc>
        <w:tc>
          <w:tcPr>
            <w:tcW w:w="3256" w:type="dxa"/>
          </w:tcPr>
          <w:p w:rsidR="00662C14" w:rsidRPr="00662C14" w:rsidRDefault="00662C14" w:rsidP="00662C14">
            <w:pPr>
              <w:jc w:val="both"/>
              <w:rPr>
                <w:rFonts w:asciiTheme="majorBidi" w:hAnsiTheme="majorBidi" w:cstheme="majorBidi"/>
              </w:rPr>
            </w:pPr>
            <m:oMathPara>
              <m:oMath>
                <m:r>
                  <w:rPr>
                    <w:rFonts w:ascii="Cambria Math" w:hAnsi="Cambria Math" w:cstheme="majorBidi"/>
                  </w:rPr>
                  <m:t xml:space="preserve">1.5 </m:t>
                </m:r>
                <m:f>
                  <m:fPr>
                    <m:ctrlPr>
                      <w:rPr>
                        <w:rFonts w:ascii="Cambria Math" w:hAnsi="Cambria Math" w:cstheme="majorBidi"/>
                        <w:i/>
                      </w:rPr>
                    </m:ctrlPr>
                  </m:fPr>
                  <m:num>
                    <m:r>
                      <w:rPr>
                        <w:rFonts w:ascii="Cambria Math" w:hAnsi="Cambria Math" w:cstheme="majorBidi"/>
                      </w:rPr>
                      <m:t>NIR-R</m:t>
                    </m:r>
                  </m:num>
                  <m:den>
                    <m:r>
                      <w:rPr>
                        <w:rFonts w:ascii="Cambria Math" w:hAnsi="Cambria Math" w:cstheme="majorBidi"/>
                      </w:rPr>
                      <m:t>NIR+R+0.5</m:t>
                    </m:r>
                  </m:den>
                </m:f>
              </m:oMath>
            </m:oMathPara>
          </w:p>
        </w:tc>
        <w:tc>
          <w:tcPr>
            <w:tcW w:w="1457"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fldChar w:fldCharType="begin" w:fldLock="1"/>
            </w:r>
            <w:r w:rsidRPr="00662C14">
              <w:rPr>
                <w:rFonts w:asciiTheme="majorBidi" w:hAnsiTheme="majorBidi" w:cstheme="majorBidi"/>
              </w:rPr>
              <w:instrText>ADDIN CSL_CITATION {"citationItems":[{"id":"ITEM-1","itemData":{"DOI":"10.1016/0034-4257(88)90106-X","ISSN":"0034-4257","abstract":"A transformation technique is presented to minimize soil brightness influences from spectral vegetation indices involving red and near-infrared (NIR) wavelengths. Graphically, the transformation involves a shifting of the origin of reflectance spectra plotted in NIR-red wavelength space to account for first-order soil-vegetation interactions and differential red and NIR flux extinction through vegetated canopies. For cotton (Gossypium hirsutum L. var DPI-70) and range grass (Eragrostics lehmanniana Nees) canopies, underlain with different soil backgrounds, the transformation nearly eliminated soil-induced variations in vegetation indices. A physical basis for the soil-adjusted vegetation index (SAVI) is subsequently presented. The SAVI was found to be an important step toward the establishment of simple °lobal\" that can describe dynamic soil-vegetation systems from remotely sensed data. © 1988.","author":[{"dropping-particle":"","family":"Huete","given":"A. R.","non-dropping-particle":"","parse-names":false,"suffix":""}],"container-title":"Remote Sensing of Environment","id":"ITEM-1","issue":"3","issued":{"date-parts":[["1988","8","1"]]},"page":"295-309","publisher":"Elsevier","title":"A soil-adjusted vegetation index (SAVI)","type":"article-journal","volume":"25"},"uris":["http://www.mendeley.com/documents/?uuid=bf9498d6-36a1-3783-a30c-4b24243abe0b"]}],"mendeley":{"formattedCitation":"(Huete, 1988)","plainTextFormattedCitation":"(Huete, 1988)","previouslyFormattedCitation":"(Huete, 1988)"},"properties":{"noteIndex":0},"schema":"https://github.com/citation-style-language/schema/raw/master/csl-citation.json"}</w:instrText>
            </w:r>
            <w:r w:rsidRPr="00662C14">
              <w:rPr>
                <w:rFonts w:asciiTheme="majorBidi" w:hAnsiTheme="majorBidi" w:cstheme="majorBidi"/>
              </w:rPr>
              <w:fldChar w:fldCharType="separate"/>
            </w:r>
            <w:r w:rsidRPr="00662C14">
              <w:rPr>
                <w:rFonts w:asciiTheme="majorBidi" w:hAnsiTheme="majorBidi" w:cstheme="majorBidi"/>
                <w:noProof/>
              </w:rPr>
              <w:t>(Huete, 1988)</w:t>
            </w:r>
            <w:r w:rsidRPr="00662C14">
              <w:rPr>
                <w:rFonts w:asciiTheme="majorBidi" w:hAnsiTheme="majorBidi" w:cstheme="majorBidi"/>
              </w:rPr>
              <w:fldChar w:fldCharType="end"/>
            </w:r>
          </w:p>
        </w:tc>
      </w:tr>
      <w:tr w:rsidR="00662C14" w:rsidRPr="00662C14" w:rsidTr="004E5A80">
        <w:tc>
          <w:tcPr>
            <w:tcW w:w="0" w:type="auto"/>
            <w:vMerge/>
            <w:tcBorders>
              <w:top w:val="nil"/>
              <w:bottom w:val="nil"/>
            </w:tcBorders>
          </w:tcPr>
          <w:p w:rsidR="00662C14" w:rsidRPr="00662C14" w:rsidRDefault="00662C14" w:rsidP="00662C14">
            <w:pPr>
              <w:jc w:val="both"/>
              <w:rPr>
                <w:rFonts w:asciiTheme="majorBidi" w:hAnsiTheme="majorBidi" w:cstheme="majorBidi"/>
                <w:sz w:val="24"/>
                <w:szCs w:val="24"/>
              </w:rPr>
            </w:pPr>
          </w:p>
        </w:tc>
        <w:tc>
          <w:tcPr>
            <w:tcW w:w="2097"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Optimized SAVI</w:t>
            </w:r>
          </w:p>
        </w:tc>
        <w:tc>
          <w:tcPr>
            <w:tcW w:w="1052"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OSAVI</w:t>
            </w:r>
          </w:p>
        </w:tc>
        <w:tc>
          <w:tcPr>
            <w:tcW w:w="3256" w:type="dxa"/>
          </w:tcPr>
          <w:p w:rsidR="00662C14" w:rsidRPr="00662C14" w:rsidRDefault="00DB6E26" w:rsidP="00662C14">
            <w:pPr>
              <w:jc w:val="both"/>
              <w:rPr>
                <w:rFonts w:asciiTheme="majorBidi" w:hAnsiTheme="majorBidi" w:cstheme="majorBidi"/>
              </w:rPr>
            </w:pPr>
            <m:oMathPara>
              <m:oMath>
                <m:f>
                  <m:fPr>
                    <m:ctrlPr>
                      <w:rPr>
                        <w:rFonts w:ascii="Cambria Math" w:hAnsi="Cambria Math" w:cstheme="majorBidi"/>
                        <w:i/>
                      </w:rPr>
                    </m:ctrlPr>
                  </m:fPr>
                  <m:num>
                    <m:r>
                      <w:rPr>
                        <w:rFonts w:ascii="Cambria Math" w:hAnsi="Cambria Math" w:cstheme="majorBidi"/>
                      </w:rPr>
                      <m:t>NIR-R</m:t>
                    </m:r>
                  </m:num>
                  <m:den>
                    <m:r>
                      <w:rPr>
                        <w:rFonts w:ascii="Cambria Math" w:hAnsi="Cambria Math" w:cstheme="majorBidi"/>
                      </w:rPr>
                      <m:t>NIR+R+0.16</m:t>
                    </m:r>
                  </m:den>
                </m:f>
              </m:oMath>
            </m:oMathPara>
          </w:p>
        </w:tc>
        <w:tc>
          <w:tcPr>
            <w:tcW w:w="1457"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fldChar w:fldCharType="begin" w:fldLock="1"/>
            </w:r>
            <w:r w:rsidR="003931CE">
              <w:rPr>
                <w:rFonts w:asciiTheme="majorBidi" w:hAnsiTheme="majorBidi" w:cstheme="majorBidi"/>
              </w:rPr>
              <w:instrText>ADDIN CSL_CITATION {"citationItems":[{"id":"ITEM-1","itemData":{"DOI":"10.1016/0034-4257(95)00186-7","ISSN":"00344257","abstract":"The sensitivity of the normalized difference vegetation index (NDVI) to soil background and atmospheric effects has generated an increasing interest in the development of new indices, such as the soil-adjusted vegetation index (SAVI), transformed soil-adjusted vegetation index (TSAVI), atmospherically resistant vegetation index (ARVI), global environment monitoring index (GEMI), modified soil-adjusted vegetation index (MSAVI), which are less sensitive to these external influences. These indices are theoretically more reliable than NDVI, although they are not yet widely used with satellite data. This article focuses on testing and comparing the sensitivity of NDVI, SAVI, TSAVI, MSAVI and GEMI to soil background effects. Indices are simulated with the SAIL model for a large range of soil reflectances, including sand, clay, and dark peat, with additional variations induced by moisture and roughness. The general formulation of the SAVI family of indices with the form VI = (NIR - R) / (NIR + R + X) is also reexamined. The value of the parameter X is critical in the minimization of soil effects. A value of X = 0.16 is found as the optimized value. Index performances are compared by means of an analysis of variance.","author":[{"dropping-particle":"","family":"Rondeaux","given":"Geneviève","non-dropping-particle":"","parse-names":false,"suffix":""},{"dropping-particle":"","family":"Steven","given":"Michael","non-dropping-particle":"","parse-names":false,"suffix":""},{"dropping-particle":"","family":"Baret","given":"Frédéric","non-dropping-particle":"","parse-names":false,"suffix":""}],"container-title":"Remote Sensing of Environment","id":"ITEM-1","issue":"2","issued":{"date-parts":[["1996","2","1"]]},"page":"95-107","publisher":"Elsevier","title":"Optimization of soil-adjusted vegetation indices","type":"article-journal","volume":"55"},"uris":["http://www.mendeley.com/documents/?uuid=8b18b389-7c04-305b-97c7-646dee1d0cc0"]}],"mendeley":{"formattedCitation":"(Rondeaux et al., 1996)","plainTextFormattedCitation":"(Rondeaux et al., 1996)","previouslyFormattedCitation":"(Rondeaux et al., 1996)"},"properties":{"noteIndex":0},"schema":"https://github.com/citation-style-language/schema/raw/master/csl-citation.json"}</w:instrText>
            </w:r>
            <w:r w:rsidRPr="00662C14">
              <w:rPr>
                <w:rFonts w:asciiTheme="majorBidi" w:hAnsiTheme="majorBidi" w:cstheme="majorBidi"/>
              </w:rPr>
              <w:fldChar w:fldCharType="separate"/>
            </w:r>
            <w:r w:rsidRPr="00662C14">
              <w:rPr>
                <w:rFonts w:asciiTheme="majorBidi" w:hAnsiTheme="majorBidi" w:cstheme="majorBidi"/>
                <w:noProof/>
              </w:rPr>
              <w:t>(Rondeaux et al., 1996)</w:t>
            </w:r>
            <w:r w:rsidRPr="00662C14">
              <w:rPr>
                <w:rFonts w:asciiTheme="majorBidi" w:hAnsiTheme="majorBidi" w:cstheme="majorBidi"/>
              </w:rPr>
              <w:fldChar w:fldCharType="end"/>
            </w:r>
          </w:p>
        </w:tc>
      </w:tr>
      <w:tr w:rsidR="00662C14" w:rsidRPr="00662C14" w:rsidTr="004E5A80">
        <w:tc>
          <w:tcPr>
            <w:tcW w:w="0" w:type="auto"/>
            <w:vMerge/>
            <w:tcBorders>
              <w:top w:val="nil"/>
              <w:bottom w:val="nil"/>
            </w:tcBorders>
          </w:tcPr>
          <w:p w:rsidR="00662C14" w:rsidRPr="00662C14" w:rsidRDefault="00662C14" w:rsidP="00662C14">
            <w:pPr>
              <w:rPr>
                <w:rFonts w:ascii="Times New Roman" w:eastAsia="Times New Roman" w:hAnsi="Times New Roman" w:cs="Times New Roman"/>
                <w:sz w:val="24"/>
                <w:szCs w:val="24"/>
                <w:lang w:eastAsia="en-GB"/>
              </w:rPr>
            </w:pPr>
          </w:p>
        </w:tc>
        <w:tc>
          <w:tcPr>
            <w:tcW w:w="2097" w:type="dxa"/>
            <w:tcBorders>
              <w:bottom w:val="dashed"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1"/>
            </w:tblGrid>
            <w:tr w:rsidR="00662C14" w:rsidRPr="00662C14" w:rsidTr="004E5A80">
              <w:trPr>
                <w:tblCellSpacing w:w="15" w:type="dxa"/>
              </w:trPr>
              <w:tc>
                <w:tcPr>
                  <w:tcW w:w="0" w:type="auto"/>
                  <w:vAlign w:val="center"/>
                  <w:hideMark/>
                </w:tcPr>
                <w:p w:rsidR="00662C14" w:rsidRPr="00662C14" w:rsidRDefault="00662C14" w:rsidP="00662C14">
                  <w:pPr>
                    <w:spacing w:after="0" w:line="240" w:lineRule="auto"/>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Green Chlorophyll Vegetation Index</w:t>
                  </w:r>
                </w:p>
              </w:tc>
            </w:tr>
          </w:tbl>
          <w:p w:rsidR="00662C14" w:rsidRPr="00662C14" w:rsidRDefault="00662C14" w:rsidP="00662C14">
            <w:pPr>
              <w:jc w:val="center"/>
              <w:rPr>
                <w:rFonts w:ascii="Times New Roman" w:eastAsia="Times New Roman" w:hAnsi="Times New Roman" w:cs="Times New Roman"/>
                <w:vanish/>
                <w:lang w:eastAsia="en-GB"/>
              </w:rPr>
            </w:pPr>
          </w:p>
          <w:p w:rsidR="00662C14" w:rsidRPr="00662C14" w:rsidRDefault="00662C14" w:rsidP="00662C14">
            <w:pPr>
              <w:jc w:val="center"/>
              <w:rPr>
                <w:rFonts w:ascii="Times New Roman" w:eastAsia="Times New Roman" w:hAnsi="Times New Roman" w:cs="Times New Roman"/>
                <w:lang w:eastAsia="en-GB"/>
              </w:rPr>
            </w:pPr>
          </w:p>
        </w:tc>
        <w:tc>
          <w:tcPr>
            <w:tcW w:w="1052" w:type="dxa"/>
            <w:tcBorders>
              <w:bottom w:val="dashed"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8"/>
            </w:tblGrid>
            <w:tr w:rsidR="00662C14" w:rsidRPr="00662C14" w:rsidTr="004E5A80">
              <w:trPr>
                <w:tblCellSpacing w:w="15" w:type="dxa"/>
              </w:trPr>
              <w:tc>
                <w:tcPr>
                  <w:tcW w:w="0" w:type="auto"/>
                  <w:vAlign w:val="center"/>
                  <w:hideMark/>
                </w:tcPr>
                <w:p w:rsidR="00662C14" w:rsidRPr="00662C14" w:rsidRDefault="00662C14" w:rsidP="00662C14">
                  <w:pPr>
                    <w:spacing w:after="0" w:line="240" w:lineRule="auto"/>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GCVI</w:t>
                  </w:r>
                </w:p>
              </w:tc>
            </w:tr>
          </w:tbl>
          <w:p w:rsidR="00662C14" w:rsidRPr="00662C14" w:rsidRDefault="00662C14" w:rsidP="00662C14">
            <w:pPr>
              <w:jc w:val="center"/>
              <w:rPr>
                <w:rFonts w:ascii="Times New Roman" w:eastAsia="Times New Roman" w:hAnsi="Times New Roman" w:cs="Times New Roman"/>
                <w:bCs/>
              </w:rPr>
            </w:pPr>
          </w:p>
        </w:tc>
        <w:tc>
          <w:tcPr>
            <w:tcW w:w="3256" w:type="dxa"/>
            <w:tcBorders>
              <w:bottom w:val="dashed" w:sz="4" w:space="0" w:color="auto"/>
            </w:tcBorders>
          </w:tcPr>
          <w:p w:rsidR="00662C14" w:rsidRPr="00662C14" w:rsidRDefault="00DB6E26" w:rsidP="00662C14">
            <w:pPr>
              <w:rPr>
                <w:rFonts w:ascii="Times New Roman" w:eastAsia="Times New Roman" w:hAnsi="Times New Roman" w:cs="Times New Roman"/>
                <w:bCs/>
              </w:rPr>
            </w:pPr>
            <m:oMathPara>
              <m:oMath>
                <m:f>
                  <m:fPr>
                    <m:ctrlPr>
                      <w:rPr>
                        <w:rFonts w:ascii="Cambria Math" w:hAnsi="Cambria Math" w:cstheme="majorBidi"/>
                        <w:i/>
                      </w:rPr>
                    </m:ctrlPr>
                  </m:fPr>
                  <m:num>
                    <m:r>
                      <w:rPr>
                        <w:rFonts w:ascii="Cambria Math" w:hAnsi="Cambria Math" w:cstheme="majorBidi"/>
                      </w:rPr>
                      <m:t>NIR</m:t>
                    </m:r>
                  </m:num>
                  <m:den>
                    <m:r>
                      <w:rPr>
                        <w:rFonts w:ascii="Cambria Math" w:hAnsi="Cambria Math" w:cstheme="majorBidi"/>
                      </w:rPr>
                      <m:t>G</m:t>
                    </m:r>
                  </m:den>
                </m:f>
                <m:r>
                  <w:rPr>
                    <w:rFonts w:ascii="Cambria Math" w:hAnsi="Cambria Math" w:cstheme="majorBidi"/>
                  </w:rPr>
                  <m:t>-1</m:t>
                </m:r>
              </m:oMath>
            </m:oMathPara>
          </w:p>
        </w:tc>
        <w:tc>
          <w:tcPr>
            <w:tcW w:w="1457" w:type="dxa"/>
            <w:tcBorders>
              <w:bottom w:val="dashed" w:sz="4" w:space="0" w:color="auto"/>
            </w:tcBorders>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fldChar w:fldCharType="begin" w:fldLock="1"/>
            </w:r>
            <w:r w:rsidRPr="00662C14">
              <w:rPr>
                <w:rFonts w:ascii="Times New Roman" w:eastAsia="Times New Roman" w:hAnsi="Times New Roman" w:cs="Times New Roman"/>
                <w:lang w:eastAsia="en-GB"/>
              </w:rPr>
              <w:instrText>ADDIN CSL_CITATION {"citationItems":[{"id":"ITEM-1","itemData":{"DOI":"10.1029/2002GL016450","ISSN":"00948276","abstract":"Leaf area index (LAI) is an important variable for climate modeling, estimates of primary production, agricultural yield forecasting, and many other diverse studies. Remote sensing provides a considerable potential for estimating LAI at local to regional and global scales. Several spectral vegetation indices have been proposed, but their capacity to estimate LAI is highly reduced at moderate-to-high LAI. In this paper, we propose a technique to estimate LAI and green leaf biomass remotely using reflectances in two spectral channels either in the green around 550 nm, or at the red edge near 700 nm, and in the NIR (beyond 750 nm). The technique was tested in agricultural fields under a maize canopy, and proved suitable for accurate estimation of LAI ranging from 0 to more than 6.","author":[{"dropping-particle":"","family":"Gitelson","given":"Anatoly A.","non-dropping-particle":"","parse-names":false,"suffix":""},{"dropping-particle":"","family":"Vina","given":"Andrés","non-dropping-particle":"","parse-names":false,"suffix":""},{"dropping-particle":"","family":"Arkebauer","given":"Timothy J.","non-dropping-particle":"","parse-names":false,"suffix":""},{"dropping-particle":"","family":"Rundquist","given":"Donald C.","non-dropping-particle":"","parse-names":false,"suffix":""},{"dropping-particle":"","family":"Keydan","given":"Galina","non-dropping-particle":"","parse-names":false,"suffix":""},{"dropping-particle":"","family":"Leavitt","given":"Bryan","non-dropping-particle":"","parse-names":false,"suffix":""}],"container-title":"Wiley Online LibraryAA Gitelson, A Viña, TJ Arkebauer, DC Rundquist, G Keydan, B LeavittGeophysical research letters, 2003•Wiley Online Library","id":"ITEM-1","issue":"5","issued":{"date-parts":[["2003","3","1"]]},"page":"1248","publisher":"American Geophysical Union","title":"Remote estimation of leaf area index and green leaf biomass in maize canopies","type":"article-journal","volume":"30"},"uris":["http://www.mendeley.com/documents/?uuid=3c2de8d1-99c2-36d7-8b67-84d300cca1b2"]}],"mendeley":{"formattedCitation":"(Gitelson et al., 2003)","plainTextFormattedCitation":"(Gitelson et al., 2003)","previouslyFormattedCitation":"(Gitelson et al., 2003)"},"properties":{"noteIndex":0},"schema":"https://github.com/citation-style-language/schema/raw/master/csl-citation.json"}</w:instrText>
            </w:r>
            <w:r w:rsidRPr="00662C14">
              <w:rPr>
                <w:rFonts w:ascii="Times New Roman" w:eastAsia="Times New Roman" w:hAnsi="Times New Roman" w:cs="Times New Roman"/>
                <w:lang w:eastAsia="en-GB"/>
              </w:rPr>
              <w:fldChar w:fldCharType="separate"/>
            </w:r>
            <w:r w:rsidRPr="00662C14">
              <w:rPr>
                <w:rFonts w:ascii="Times New Roman" w:eastAsia="Times New Roman" w:hAnsi="Times New Roman" w:cs="Times New Roman"/>
                <w:noProof/>
                <w:lang w:eastAsia="en-GB"/>
              </w:rPr>
              <w:t>(Gitelson et al., 2003)</w:t>
            </w:r>
            <w:r w:rsidRPr="00662C14">
              <w:rPr>
                <w:rFonts w:ascii="Times New Roman" w:eastAsia="Times New Roman" w:hAnsi="Times New Roman" w:cs="Times New Roman"/>
                <w:lang w:eastAsia="en-GB"/>
              </w:rPr>
              <w:fldChar w:fldCharType="end"/>
            </w:r>
          </w:p>
        </w:tc>
      </w:tr>
      <w:tr w:rsidR="00662C14" w:rsidRPr="00662C14" w:rsidTr="004E5A80">
        <w:tc>
          <w:tcPr>
            <w:tcW w:w="0" w:type="auto"/>
            <w:vMerge w:val="restart"/>
            <w:tcBorders>
              <w:top w:val="nil"/>
            </w:tcBorders>
            <w:textDirection w:val="btLr"/>
          </w:tcPr>
          <w:p w:rsidR="00662C14" w:rsidRPr="00662C14" w:rsidRDefault="00662C14" w:rsidP="00662C14">
            <w:pPr>
              <w:ind w:left="113" w:right="113"/>
              <w:jc w:val="center"/>
              <w:rPr>
                <w:rFonts w:ascii="Times New Roman" w:eastAsia="Times New Roman" w:hAnsi="Times New Roman" w:cs="Times New Roman"/>
                <w:sz w:val="24"/>
                <w:szCs w:val="24"/>
                <w:lang w:eastAsia="en-GB"/>
              </w:rPr>
            </w:pPr>
            <w:r w:rsidRPr="00662C14">
              <w:rPr>
                <w:rFonts w:ascii="Times New Roman" w:eastAsia="Times New Roman" w:hAnsi="Times New Roman" w:cs="Times New Roman"/>
                <w:sz w:val="24"/>
                <w:szCs w:val="24"/>
                <w:lang w:eastAsia="en-GB"/>
              </w:rPr>
              <w:t>Texture Features (GLCM)</w:t>
            </w:r>
          </w:p>
        </w:tc>
        <w:tc>
          <w:tcPr>
            <w:tcW w:w="2097" w:type="dxa"/>
            <w:tcBorders>
              <w:top w:val="dashed" w:sz="4" w:space="0" w:color="auto"/>
            </w:tcBorders>
          </w:tcPr>
          <w:p w:rsidR="00662C14" w:rsidRPr="00662C14" w:rsidRDefault="00662C14" w:rsidP="00662C14">
            <w:pP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Contrast</w:t>
            </w:r>
          </w:p>
        </w:tc>
        <w:tc>
          <w:tcPr>
            <w:tcW w:w="1052" w:type="dxa"/>
            <w:tcBorders>
              <w:top w:val="dashed" w:sz="4" w:space="0" w:color="auto"/>
            </w:tcBorders>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CON</w:t>
            </w:r>
          </w:p>
        </w:tc>
        <w:tc>
          <w:tcPr>
            <w:tcW w:w="3256" w:type="dxa"/>
            <w:tcBorders>
              <w:top w:val="dashed" w:sz="4" w:space="0" w:color="auto"/>
            </w:tcBorders>
          </w:tcPr>
          <w:p w:rsidR="00662C14" w:rsidRPr="00662C14" w:rsidRDefault="00DB6E26" w:rsidP="00662C14">
            <w:pPr>
              <w:rPr>
                <w:rFonts w:ascii="Times New Roman" w:eastAsia="Times New Roman" w:hAnsi="Times New Roman" w:cs="Times New Roman"/>
              </w:rPr>
            </w:pPr>
            <m:oMathPara>
              <m:oMath>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i</m:t>
                    </m:r>
                  </m:sub>
                  <m:sup/>
                  <m:e>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j</m:t>
                        </m:r>
                      </m:sub>
                      <m:sup/>
                      <m:e>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r>
                                  <w:rPr>
                                    <w:rFonts w:ascii="Cambria Math" w:eastAsia="Times New Roman" w:hAnsi="Cambria Math" w:cs="Times New Roman"/>
                                  </w:rPr>
                                  <m:t>i-j</m:t>
                                </m:r>
                              </m:e>
                            </m:d>
                          </m:e>
                          <m:sup>
                            <m:r>
                              <w:rPr>
                                <w:rFonts w:ascii="Cambria Math" w:eastAsia="Times New Roman" w:hAnsi="Cambria Math" w:cs="Times New Roman"/>
                              </w:rPr>
                              <m:t>2</m:t>
                            </m:r>
                          </m:sup>
                        </m:sSup>
                        <m:r>
                          <w:rPr>
                            <w:rFonts w:ascii="Cambria Math" w:eastAsia="Times New Roman" w:hAnsi="Cambria Math" w:cs="Times New Roman"/>
                          </w:rPr>
                          <m:t>p(i,j)</m:t>
                        </m:r>
                      </m:e>
                    </m:nary>
                  </m:e>
                </m:nary>
              </m:oMath>
            </m:oMathPara>
          </w:p>
        </w:tc>
        <w:tc>
          <w:tcPr>
            <w:tcW w:w="1457" w:type="dxa"/>
            <w:tcBorders>
              <w:top w:val="dashed" w:sz="4" w:space="0" w:color="auto"/>
            </w:tcBorders>
          </w:tcPr>
          <w:p w:rsidR="00662C14" w:rsidRPr="00662C14" w:rsidRDefault="00662C14" w:rsidP="00662C14">
            <w:pPr>
              <w:jc w:val="center"/>
              <w:rPr>
                <w:rFonts w:asciiTheme="majorBidi" w:hAnsiTheme="majorBidi" w:cstheme="majorBidi"/>
              </w:rPr>
            </w:pPr>
            <w:r w:rsidRPr="00662C14">
              <w:rPr>
                <w:rFonts w:ascii="Times New Roman" w:eastAsia="SimSun" w:hAnsi="Times New Roman" w:cs="Times New Roman"/>
              </w:rPr>
              <w:fldChar w:fldCharType="begin" w:fldLock="1"/>
            </w:r>
            <w:r w:rsidRPr="00662C14">
              <w:rPr>
                <w:rFonts w:ascii="Times New Roman" w:eastAsia="SimSun" w:hAnsi="Times New Roman" w:cs="Times New Roman"/>
              </w:rPr>
              <w:instrText>ADDIN CSL_CITATION {"citationItems":[{"id":"ITEM-1","itemData":{"DOI":"10.1109/TSMC.1973.4309314","ISSN":"21682909","abstract":"Texture is one of the important characteristics used in identifying objects or regions of interest in an image, whether the image be a photomicrograph, an aerial photograph, or a satellite image. This paper describes some easily computable textural features based on graytone spatial dependancies, and illustrates their application in category-identification tasks of three different kinds of image data: Photomicrographs of five kinds of sandstones, 1:20 000 panchromatic aerial photographs of eight land-use categories, and Earth Resources Technology Satellite (ERTS) multispecial imagery containing seven land-use categories. We use two kinds of decision rules: One for which the decision regions are convex polyhedra (a piecewise linear decision rule), and one for which the decision regions are rectangular parallelpipeds (a min-max decision rule). In each experiment the data set was divided into two parts, a training set and a test set. Test set identification accuracy is 89 percent for the photomicrographs, 82 percent for the aerial photographic imagery, and 83 percent for the satellite imagery. These results indicate that the easily computable textural features probably have a general applicability for a wide variety of image-classification applications. Copyright © 1973 by The Institute of Electrical and Electronics Engineers, Inc.","author":[{"dropping-particle":"","family":"Haralick","given":"Robert M.","non-dropping-particle":"","parse-names":false,"suffix":""},{"dropping-particle":"","family":"Dinstein","given":"Its'hak","non-dropping-particle":"","parse-names":false,"suffix":""},{"dropping-particle":"","family":"Shanmugam","given":"K.","non-dropping-particle":"","parse-names":false,"suffix":""}],"container-title":"IEEE Transactions on Systems, Man and Cybernetics","id":"ITEM-1","issue":"6","issued":{"date-parts":[["1973"]]},"page":"610-621","title":"Textural Features for Image Classification","type":"article-journal","volume":"SMC-3"},"uris":["http://www.mendeley.com/documents/?uuid=fc771c56-c775-3522-b6cf-575c10f45f4a"]}],"mendeley":{"formattedCitation":"(Haralick et al., 1973)","plainTextFormattedCitation":"(Haralick et al., 1973)","previouslyFormattedCitation":"(Haralick et al., 1973)"},"properties":{"noteIndex":0},"schema":"https://github.com/citation-style-language/schema/raw/master/csl-citation.json"}</w:instrText>
            </w:r>
            <w:r w:rsidRPr="00662C14">
              <w:rPr>
                <w:rFonts w:ascii="Times New Roman" w:eastAsia="SimSun" w:hAnsi="Times New Roman" w:cs="Times New Roman"/>
              </w:rPr>
              <w:fldChar w:fldCharType="separate"/>
            </w:r>
            <w:r w:rsidRPr="00662C14">
              <w:rPr>
                <w:rFonts w:ascii="Times New Roman" w:eastAsia="SimSun" w:hAnsi="Times New Roman" w:cs="Times New Roman"/>
                <w:noProof/>
              </w:rPr>
              <w:t>(Haralick et al., 1973)</w:t>
            </w:r>
            <w:r w:rsidRPr="00662C14">
              <w:rPr>
                <w:rFonts w:ascii="Times New Roman" w:eastAsia="SimSun" w:hAnsi="Times New Roman" w:cs="Times New Roman"/>
              </w:rPr>
              <w:fldChar w:fldCharType="end"/>
            </w:r>
          </w:p>
        </w:tc>
      </w:tr>
      <w:tr w:rsidR="00662C14" w:rsidRPr="00662C14" w:rsidTr="004E5A80">
        <w:tc>
          <w:tcPr>
            <w:tcW w:w="0" w:type="auto"/>
            <w:vMerge/>
          </w:tcPr>
          <w:p w:rsidR="00662C14" w:rsidRPr="00662C14" w:rsidRDefault="00662C14" w:rsidP="00662C14">
            <w:pPr>
              <w:rPr>
                <w:rFonts w:ascii="Times New Roman" w:eastAsia="Times New Roman" w:hAnsi="Times New Roman" w:cs="Times New Roman"/>
                <w:sz w:val="24"/>
                <w:szCs w:val="24"/>
                <w:lang w:eastAsia="en-GB"/>
              </w:rPr>
            </w:pPr>
          </w:p>
        </w:tc>
        <w:tc>
          <w:tcPr>
            <w:tcW w:w="2097" w:type="dxa"/>
          </w:tcPr>
          <w:p w:rsidR="00662C14" w:rsidRPr="00662C14" w:rsidRDefault="00662C14" w:rsidP="00662C14">
            <w:pP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Correlation</w:t>
            </w:r>
          </w:p>
        </w:tc>
        <w:tc>
          <w:tcPr>
            <w:tcW w:w="1052" w:type="dxa"/>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COR</w:t>
            </w:r>
          </w:p>
        </w:tc>
        <w:tc>
          <w:tcPr>
            <w:tcW w:w="3256" w:type="dxa"/>
          </w:tcPr>
          <w:p w:rsidR="00662C14" w:rsidRPr="00662C14" w:rsidRDefault="00DB6E26" w:rsidP="00662C14">
            <w:pPr>
              <w:rPr>
                <w:rFonts w:ascii="Times New Roman" w:eastAsia="Times New Roman" w:hAnsi="Times New Roman" w:cs="Times New Roman"/>
              </w:rPr>
            </w:pPr>
            <m:oMathPara>
              <m:oMath>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i</m:t>
                    </m:r>
                  </m:sub>
                  <m:sup/>
                  <m:e>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j</m:t>
                        </m:r>
                      </m:sub>
                      <m:sup/>
                      <m:e>
                        <m:f>
                          <m:fPr>
                            <m:ctrlPr>
                              <w:rPr>
                                <w:rFonts w:ascii="Cambria Math" w:eastAsia="Times New Roman" w:hAnsi="Cambria Math" w:cs="Times New Roman"/>
                                <w:i/>
                              </w:rPr>
                            </m:ctrlPr>
                          </m:fPr>
                          <m:num>
                            <m:r>
                              <w:rPr>
                                <w:rFonts w:ascii="Cambria Math" w:eastAsia="Times New Roman" w:hAnsi="Cambria Math" w:cs="Times New Roman"/>
                              </w:rPr>
                              <m:t xml:space="preserve">(i- </m:t>
                            </m:r>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i</m:t>
                                </m:r>
                              </m:sub>
                            </m:sSub>
                            <m:r>
                              <w:rPr>
                                <w:rFonts w:ascii="Cambria Math" w:eastAsia="Times New Roman" w:hAnsi="Cambria Math" w:cs="Times New Roman"/>
                              </w:rPr>
                              <m:t xml:space="preserve">)(j- </m:t>
                            </m:r>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j</m:t>
                                </m:r>
                              </m:sub>
                            </m:sSub>
                            <m:r>
                              <w:rPr>
                                <w:rFonts w:ascii="Cambria Math" w:eastAsia="Times New Roman" w:hAnsi="Cambria Math" w:cs="Times New Roman"/>
                              </w:rPr>
                              <m:t>)</m:t>
                            </m:r>
                          </m:num>
                          <m:den>
                            <m:sSub>
                              <m:sSubPr>
                                <m:ctrlPr>
                                  <w:rPr>
                                    <w:rFonts w:ascii="Cambria Math" w:eastAsia="Times New Roman" w:hAnsi="Cambria Math" w:cs="Times New Roman"/>
                                    <w:i/>
                                  </w:rPr>
                                </m:ctrlPr>
                              </m:sSubPr>
                              <m:e>
                                <m:r>
                                  <w:rPr>
                                    <w:rFonts w:ascii="Cambria Math" w:eastAsia="Times New Roman" w:hAnsi="Cambria Math" w:cs="Times New Roman"/>
                                  </w:rPr>
                                  <m:t>σ</m:t>
                                </m:r>
                              </m:e>
                              <m:sub>
                                <m:r>
                                  <w:rPr>
                                    <w:rFonts w:ascii="Cambria Math" w:eastAsia="Times New Roman" w:hAnsi="Cambria Math" w:cs="Times New Roman"/>
                                  </w:rPr>
                                  <m:t>i</m:t>
                                </m:r>
                              </m:sub>
                            </m:sSub>
                            <m:sSub>
                              <m:sSubPr>
                                <m:ctrlPr>
                                  <w:rPr>
                                    <w:rFonts w:ascii="Cambria Math" w:eastAsia="Times New Roman" w:hAnsi="Cambria Math" w:cs="Times New Roman"/>
                                    <w:i/>
                                  </w:rPr>
                                </m:ctrlPr>
                              </m:sSubPr>
                              <m:e>
                                <m:r>
                                  <w:rPr>
                                    <w:rFonts w:ascii="Cambria Math" w:eastAsia="Times New Roman" w:hAnsi="Cambria Math" w:cs="Times New Roman"/>
                                  </w:rPr>
                                  <m:t>σ</m:t>
                                </m:r>
                              </m:e>
                              <m:sub>
                                <m:r>
                                  <w:rPr>
                                    <w:rFonts w:ascii="Cambria Math" w:eastAsia="Times New Roman" w:hAnsi="Cambria Math" w:cs="Times New Roman"/>
                                  </w:rPr>
                                  <m:t>j</m:t>
                                </m:r>
                              </m:sub>
                            </m:sSub>
                          </m:den>
                        </m:f>
                        <m:r>
                          <w:rPr>
                            <w:rFonts w:ascii="Cambria Math" w:eastAsia="Times New Roman" w:hAnsi="Cambria Math" w:cs="Times New Roman"/>
                          </w:rPr>
                          <m:t>p(i,j)</m:t>
                        </m:r>
                      </m:e>
                    </m:nary>
                  </m:e>
                </m:nary>
              </m:oMath>
            </m:oMathPara>
          </w:p>
        </w:tc>
        <w:tc>
          <w:tcPr>
            <w:tcW w:w="1457" w:type="dxa"/>
          </w:tcPr>
          <w:p w:rsidR="00662C14" w:rsidRPr="00662C14" w:rsidRDefault="00662C14" w:rsidP="00662C14">
            <w:pPr>
              <w:jc w:val="center"/>
              <w:rPr>
                <w:rFonts w:asciiTheme="majorBidi" w:hAnsiTheme="majorBidi" w:cstheme="majorBidi"/>
              </w:rPr>
            </w:pPr>
            <w:r w:rsidRPr="00662C14">
              <w:rPr>
                <w:rFonts w:ascii="Times New Roman" w:eastAsia="SimSun" w:hAnsi="Times New Roman" w:cs="Times New Roman"/>
              </w:rPr>
              <w:fldChar w:fldCharType="begin" w:fldLock="1"/>
            </w:r>
            <w:r w:rsidRPr="00662C14">
              <w:rPr>
                <w:rFonts w:ascii="Times New Roman" w:eastAsia="SimSun" w:hAnsi="Times New Roman" w:cs="Times New Roman"/>
              </w:rPr>
              <w:instrText>ADDIN CSL_CITATION {"citationItems":[{"id":"ITEM-1","itemData":{"DOI":"10.1109/TSMC.1973.4309314","ISSN":"21682909","abstract":"Texture is one of the important characteristics used in identifying objects or regions of interest in an image, whether the image be a photomicrograph, an aerial photograph, or a satellite image. This paper describes some easily computable textural features based on graytone spatial dependancies, and illustrates their application in category-identification tasks of three different kinds of image data: Photomicrographs of five kinds of sandstones, 1:20 000 panchromatic aerial photographs of eight land-use categories, and Earth Resources Technology Satellite (ERTS) multispecial imagery containing seven land-use categories. We use two kinds of decision rules: One for which the decision regions are convex polyhedra (a piecewise linear decision rule), and one for which the decision regions are rectangular parallelpipeds (a min-max decision rule). In each experiment the data set was divided into two parts, a training set and a test set. Test set identification accuracy is 89 percent for the photomicrographs, 82 percent for the aerial photographic imagery, and 83 percent for the satellite imagery. These results indicate that the easily computable textural features probably have a general applicability for a wide variety of image-classification applications. Copyright © 1973 by The Institute of Electrical and Electronics Engineers, Inc.","author":[{"dropping-particle":"","family":"Haralick","given":"Robert M.","non-dropping-particle":"","parse-names":false,"suffix":""},{"dropping-particle":"","family":"Dinstein","given":"Its'hak","non-dropping-particle":"","parse-names":false,"suffix":""},{"dropping-particle":"","family":"Shanmugam","given":"K.","non-dropping-particle":"","parse-names":false,"suffix":""}],"container-title":"IEEE Transactions on Systems, Man and Cybernetics","id":"ITEM-1","issue":"6","issued":{"date-parts":[["1973"]]},"page":"610-621","title":"Textural Features for Image Classification","type":"article-journal","volume":"SMC-3"},"uris":["http://www.mendeley.com/documents/?uuid=fc771c56-c775-3522-b6cf-575c10f45f4a"]}],"mendeley":{"formattedCitation":"(Haralick et al., 1973)","plainTextFormattedCitation":"(Haralick et al., 1973)","previouslyFormattedCitation":"(Haralick et al., 1973)"},"properties":{"noteIndex":0},"schema":"https://github.com/citation-style-language/schema/raw/master/csl-citation.json"}</w:instrText>
            </w:r>
            <w:r w:rsidRPr="00662C14">
              <w:rPr>
                <w:rFonts w:ascii="Times New Roman" w:eastAsia="SimSun" w:hAnsi="Times New Roman" w:cs="Times New Roman"/>
              </w:rPr>
              <w:fldChar w:fldCharType="separate"/>
            </w:r>
            <w:r w:rsidRPr="00662C14">
              <w:rPr>
                <w:rFonts w:ascii="Times New Roman" w:eastAsia="SimSun" w:hAnsi="Times New Roman" w:cs="Times New Roman"/>
                <w:noProof/>
              </w:rPr>
              <w:t>(Haralick et al., 1973)</w:t>
            </w:r>
            <w:r w:rsidRPr="00662C14">
              <w:rPr>
                <w:rFonts w:ascii="Times New Roman" w:eastAsia="SimSun" w:hAnsi="Times New Roman" w:cs="Times New Roman"/>
              </w:rPr>
              <w:fldChar w:fldCharType="end"/>
            </w:r>
          </w:p>
        </w:tc>
      </w:tr>
      <w:tr w:rsidR="00662C14" w:rsidRPr="00662C14" w:rsidTr="004E5A80">
        <w:tc>
          <w:tcPr>
            <w:tcW w:w="0" w:type="auto"/>
            <w:vMerge/>
          </w:tcPr>
          <w:p w:rsidR="00662C14" w:rsidRPr="00662C14" w:rsidRDefault="00662C14" w:rsidP="00662C14">
            <w:pPr>
              <w:rPr>
                <w:rFonts w:ascii="Times New Roman" w:eastAsia="Times New Roman" w:hAnsi="Times New Roman" w:cs="Times New Roman"/>
                <w:sz w:val="24"/>
                <w:szCs w:val="24"/>
                <w:lang w:eastAsia="en-GB"/>
              </w:rPr>
            </w:pPr>
          </w:p>
        </w:tc>
        <w:tc>
          <w:tcPr>
            <w:tcW w:w="2097" w:type="dxa"/>
          </w:tcPr>
          <w:p w:rsidR="00662C14" w:rsidRPr="00662C14" w:rsidRDefault="00662C14" w:rsidP="00662C14">
            <w:pP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Energy</w:t>
            </w:r>
          </w:p>
        </w:tc>
        <w:tc>
          <w:tcPr>
            <w:tcW w:w="1052" w:type="dxa"/>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ENG</w:t>
            </w:r>
          </w:p>
        </w:tc>
        <w:tc>
          <w:tcPr>
            <w:tcW w:w="3256" w:type="dxa"/>
          </w:tcPr>
          <w:p w:rsidR="00662C14" w:rsidRPr="00662C14" w:rsidRDefault="00DB6E26" w:rsidP="00662C14">
            <w:pPr>
              <w:rPr>
                <w:rFonts w:ascii="Times New Roman" w:eastAsia="Times New Roman" w:hAnsi="Times New Roman" w:cs="Times New Roman"/>
              </w:rPr>
            </w:pPr>
            <m:oMathPara>
              <m:oMath>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i</m:t>
                    </m:r>
                  </m:sub>
                  <m:sup/>
                  <m:e>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j</m:t>
                        </m:r>
                      </m:sub>
                      <m:sup/>
                      <m:e>
                        <m:sSup>
                          <m:sSupPr>
                            <m:ctrlPr>
                              <w:rPr>
                                <w:rFonts w:ascii="Cambria Math" w:eastAsia="Times New Roman" w:hAnsi="Cambria Math" w:cs="Times New Roman"/>
                                <w:i/>
                              </w:rPr>
                            </m:ctrlPr>
                          </m:sSupPr>
                          <m:e>
                            <m:r>
                              <w:rPr>
                                <w:rFonts w:ascii="Cambria Math" w:eastAsia="Times New Roman" w:hAnsi="Cambria Math" w:cs="Times New Roman"/>
                              </w:rPr>
                              <m:t>p(i,j)</m:t>
                            </m:r>
                          </m:e>
                          <m:sup>
                            <m:r>
                              <w:rPr>
                                <w:rFonts w:ascii="Cambria Math" w:eastAsia="Times New Roman" w:hAnsi="Cambria Math" w:cs="Times New Roman"/>
                              </w:rPr>
                              <m:t>2</m:t>
                            </m:r>
                          </m:sup>
                        </m:sSup>
                      </m:e>
                    </m:nary>
                  </m:e>
                </m:nary>
              </m:oMath>
            </m:oMathPara>
          </w:p>
        </w:tc>
        <w:tc>
          <w:tcPr>
            <w:tcW w:w="1457" w:type="dxa"/>
          </w:tcPr>
          <w:p w:rsidR="00662C14" w:rsidRPr="00662C14" w:rsidRDefault="00662C14" w:rsidP="00662C14">
            <w:pPr>
              <w:jc w:val="center"/>
              <w:rPr>
                <w:rFonts w:asciiTheme="majorBidi" w:hAnsiTheme="majorBidi" w:cstheme="majorBidi"/>
              </w:rPr>
            </w:pPr>
            <w:r w:rsidRPr="00662C14">
              <w:rPr>
                <w:rFonts w:ascii="Times New Roman" w:eastAsia="SimSun" w:hAnsi="Times New Roman" w:cs="Times New Roman"/>
              </w:rPr>
              <w:fldChar w:fldCharType="begin" w:fldLock="1"/>
            </w:r>
            <w:r w:rsidRPr="00662C14">
              <w:rPr>
                <w:rFonts w:ascii="Times New Roman" w:eastAsia="SimSun" w:hAnsi="Times New Roman" w:cs="Times New Roman"/>
              </w:rPr>
              <w:instrText>ADDIN CSL_CITATION {"citationItems":[{"id":"ITEM-1","itemData":{"DOI":"10.1109/TSMC.1973.4309314","ISSN":"21682909","abstract":"Texture is one of the important characteristics used in identifying objects or regions of interest in an image, whether the image be a photomicrograph, an aerial photograph, or a satellite image. This paper describes some easily computable textural features based on graytone spatial dependancies, and illustrates their application in category-identification tasks of three different kinds of image data: Photomicrographs of five kinds of sandstones, 1:20 000 panchromatic aerial photographs of eight land-use categories, and Earth Resources Technology Satellite (ERTS) multispecial imagery containing seven land-use categories. We use two kinds of decision rules: One for which the decision regions are convex polyhedra (a piecewise linear decision rule), and one for which the decision regions are rectangular parallelpipeds (a min-max decision rule). In each experiment the data set was divided into two parts, a training set and a test set. Test set identification accuracy is 89 percent for the photomicrographs, 82 percent for the aerial photographic imagery, and 83 percent for the satellite imagery. These results indicate that the easily computable textural features probably have a general applicability for a wide variety of image-classification applications. Copyright © 1973 by The Institute of Electrical and Electronics Engineers, Inc.","author":[{"dropping-particle":"","family":"Haralick","given":"Robert M.","non-dropping-particle":"","parse-names":false,"suffix":""},{"dropping-particle":"","family":"Dinstein","given":"Its'hak","non-dropping-particle":"","parse-names":false,"suffix":""},{"dropping-particle":"","family":"Shanmugam","given":"K.","non-dropping-particle":"","parse-names":false,"suffix":""}],"container-title":"IEEE Transactions on Systems, Man and Cybernetics","id":"ITEM-1","issue":"6","issued":{"date-parts":[["1973"]]},"page":"610-621","title":"Textural Features for Image Classification","type":"article-journal","volume":"SMC-3"},"uris":["http://www.mendeley.com/documents/?uuid=fc771c56-c775-3522-b6cf-575c10f45f4a"]}],"mendeley":{"formattedCitation":"(Haralick et al., 1973)","plainTextFormattedCitation":"(Haralick et al., 1973)","previouslyFormattedCitation":"(Haralick et al., 1973)"},"properties":{"noteIndex":0},"schema":"https://github.com/citation-style-language/schema/raw/master/csl-citation.json"}</w:instrText>
            </w:r>
            <w:r w:rsidRPr="00662C14">
              <w:rPr>
                <w:rFonts w:ascii="Times New Roman" w:eastAsia="SimSun" w:hAnsi="Times New Roman" w:cs="Times New Roman"/>
              </w:rPr>
              <w:fldChar w:fldCharType="separate"/>
            </w:r>
            <w:r w:rsidRPr="00662C14">
              <w:rPr>
                <w:rFonts w:ascii="Times New Roman" w:eastAsia="SimSun" w:hAnsi="Times New Roman" w:cs="Times New Roman"/>
                <w:noProof/>
              </w:rPr>
              <w:t>(Haralick et al., 1973)</w:t>
            </w:r>
            <w:r w:rsidRPr="00662C14">
              <w:rPr>
                <w:rFonts w:ascii="Times New Roman" w:eastAsia="SimSun" w:hAnsi="Times New Roman" w:cs="Times New Roman"/>
              </w:rPr>
              <w:fldChar w:fldCharType="end"/>
            </w:r>
          </w:p>
        </w:tc>
      </w:tr>
      <w:tr w:rsidR="00662C14" w:rsidRPr="00662C14" w:rsidTr="004E5A80">
        <w:tc>
          <w:tcPr>
            <w:tcW w:w="0" w:type="auto"/>
            <w:vMerge/>
          </w:tcPr>
          <w:p w:rsidR="00662C14" w:rsidRPr="00662C14" w:rsidRDefault="00662C14" w:rsidP="00662C14">
            <w:pPr>
              <w:rPr>
                <w:rFonts w:ascii="Times New Roman" w:eastAsia="Times New Roman" w:hAnsi="Times New Roman" w:cs="Times New Roman"/>
                <w:sz w:val="24"/>
                <w:szCs w:val="24"/>
                <w:lang w:eastAsia="en-GB"/>
              </w:rPr>
            </w:pPr>
          </w:p>
        </w:tc>
        <w:tc>
          <w:tcPr>
            <w:tcW w:w="2097" w:type="dxa"/>
            <w:tcBorders>
              <w:bottom w:val="dashed" w:sz="4" w:space="0" w:color="auto"/>
            </w:tcBorders>
          </w:tcPr>
          <w:p w:rsidR="00662C14" w:rsidRPr="00662C14" w:rsidRDefault="00662C14" w:rsidP="00662C14">
            <w:pP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Homogeneity</w:t>
            </w:r>
          </w:p>
        </w:tc>
        <w:tc>
          <w:tcPr>
            <w:tcW w:w="1052" w:type="dxa"/>
            <w:tcBorders>
              <w:bottom w:val="dashed" w:sz="4" w:space="0" w:color="auto"/>
            </w:tcBorders>
          </w:tcPr>
          <w:p w:rsidR="00662C14" w:rsidRPr="00662C14" w:rsidRDefault="00662C14" w:rsidP="00662C14">
            <w:pPr>
              <w:jc w:val="center"/>
              <w:rPr>
                <w:rFonts w:ascii="Times New Roman" w:eastAsia="Times New Roman" w:hAnsi="Times New Roman" w:cs="Times New Roman"/>
                <w:lang w:eastAsia="en-GB"/>
              </w:rPr>
            </w:pPr>
            <w:r w:rsidRPr="00662C14">
              <w:rPr>
                <w:rFonts w:ascii="Times New Roman" w:eastAsia="Times New Roman" w:hAnsi="Times New Roman" w:cs="Times New Roman"/>
                <w:lang w:eastAsia="en-GB"/>
              </w:rPr>
              <w:t>HOM</w:t>
            </w:r>
          </w:p>
        </w:tc>
        <w:tc>
          <w:tcPr>
            <w:tcW w:w="3256" w:type="dxa"/>
            <w:tcBorders>
              <w:bottom w:val="dashed" w:sz="4" w:space="0" w:color="auto"/>
            </w:tcBorders>
          </w:tcPr>
          <w:p w:rsidR="00662C14" w:rsidRPr="00662C14" w:rsidRDefault="00DB6E26" w:rsidP="00662C14">
            <w:pPr>
              <w:rPr>
                <w:rFonts w:ascii="Times New Roman" w:eastAsia="Times New Roman" w:hAnsi="Times New Roman" w:cs="Times New Roman"/>
              </w:rPr>
            </w:pPr>
            <m:oMathPara>
              <m:oMath>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i</m:t>
                    </m:r>
                  </m:sub>
                  <m:sup/>
                  <m:e>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j</m:t>
                        </m:r>
                      </m:sub>
                      <m:sup/>
                      <m:e>
                        <m:f>
                          <m:fPr>
                            <m:ctrlPr>
                              <w:rPr>
                                <w:rFonts w:ascii="Cambria Math" w:eastAsia="Times New Roman" w:hAnsi="Cambria Math" w:cs="Times New Roman"/>
                                <w:i/>
                              </w:rPr>
                            </m:ctrlPr>
                          </m:fPr>
                          <m:num>
                            <m:r>
                              <w:rPr>
                                <w:rFonts w:ascii="Cambria Math" w:eastAsia="Times New Roman" w:hAnsi="Cambria Math" w:cs="Times New Roman"/>
                              </w:rPr>
                              <m:t>p(i,j)</m:t>
                            </m:r>
                          </m:num>
                          <m:den>
                            <m:r>
                              <w:rPr>
                                <w:rFonts w:ascii="Cambria Math" w:eastAsia="Times New Roman" w:hAnsi="Cambria Math" w:cs="Times New Roman"/>
                              </w:rPr>
                              <m:t>1+</m:t>
                            </m:r>
                            <m:sSup>
                              <m:sSupPr>
                                <m:ctrlPr>
                                  <w:rPr>
                                    <w:rFonts w:ascii="Cambria Math" w:eastAsia="Times New Roman" w:hAnsi="Cambria Math" w:cs="Times New Roman"/>
                                    <w:i/>
                                  </w:rPr>
                                </m:ctrlPr>
                              </m:sSupPr>
                              <m:e>
                                <m:r>
                                  <w:rPr>
                                    <w:rFonts w:ascii="Cambria Math" w:eastAsia="Times New Roman" w:hAnsi="Cambria Math" w:cs="Times New Roman"/>
                                  </w:rPr>
                                  <m:t>(i-j)</m:t>
                                </m:r>
                              </m:e>
                              <m:sup>
                                <m:r>
                                  <w:rPr>
                                    <w:rFonts w:ascii="Cambria Math" w:eastAsia="Times New Roman" w:hAnsi="Cambria Math" w:cs="Times New Roman"/>
                                  </w:rPr>
                                  <m:t>2</m:t>
                                </m:r>
                              </m:sup>
                            </m:sSup>
                          </m:den>
                        </m:f>
                      </m:e>
                    </m:nary>
                  </m:e>
                </m:nary>
              </m:oMath>
            </m:oMathPara>
          </w:p>
        </w:tc>
        <w:tc>
          <w:tcPr>
            <w:tcW w:w="1457" w:type="dxa"/>
            <w:tcBorders>
              <w:bottom w:val="dashed" w:sz="4" w:space="0" w:color="auto"/>
            </w:tcBorders>
          </w:tcPr>
          <w:p w:rsidR="00662C14" w:rsidRPr="00662C14" w:rsidRDefault="00662C14" w:rsidP="00662C14">
            <w:pPr>
              <w:jc w:val="center"/>
              <w:rPr>
                <w:rFonts w:asciiTheme="majorBidi" w:hAnsiTheme="majorBidi" w:cstheme="majorBidi"/>
              </w:rPr>
            </w:pPr>
            <w:r w:rsidRPr="00662C14">
              <w:rPr>
                <w:rFonts w:ascii="Times New Roman" w:eastAsia="SimSun" w:hAnsi="Times New Roman" w:cs="Times New Roman"/>
              </w:rPr>
              <w:fldChar w:fldCharType="begin" w:fldLock="1"/>
            </w:r>
            <w:r w:rsidRPr="00662C14">
              <w:rPr>
                <w:rFonts w:ascii="Times New Roman" w:eastAsia="SimSun" w:hAnsi="Times New Roman" w:cs="Times New Roman"/>
              </w:rPr>
              <w:instrText>ADDIN CSL_CITATION {"citationItems":[{"id":"ITEM-1","itemData":{"DOI":"10.1109/TSMC.1973.4309314","ISSN":"21682909","abstract":"Texture is one of the important characteristics used in identifying objects or regions of interest in an image, whether the image be a photomicrograph, an aerial photograph, or a satellite image. This paper describes some easily computable textural features based on graytone spatial dependancies, and illustrates their application in category-identification tasks of three different kinds of image data: Photomicrographs of five kinds of sandstones, 1:20 000 panchromatic aerial photographs of eight land-use categories, and Earth Resources Technology Satellite (ERTS) multispecial imagery containing seven land-use categories. We use two kinds of decision rules: One for which the decision regions are convex polyhedra (a piecewise linear decision rule), and one for which the decision regions are rectangular parallelpipeds (a min-max decision rule). In each experiment the data set was divided into two parts, a training set and a test set. Test set identification accuracy is 89 percent for the photomicrographs, 82 percent for the aerial photographic imagery, and 83 percent for the satellite imagery. These results indicate that the easily computable textural features probably have a general applicability for a wide variety of image-classification applications. Copyright © 1973 by The Institute of Electrical and Electronics Engineers, Inc.","author":[{"dropping-particle":"","family":"Haralick","given":"Robert M.","non-dropping-particle":"","parse-names":false,"suffix":""},{"dropping-particle":"","family":"Dinstein","given":"Its'hak","non-dropping-particle":"","parse-names":false,"suffix":""},{"dropping-particle":"","family":"Shanmugam","given":"K.","non-dropping-particle":"","parse-names":false,"suffix":""}],"container-title":"IEEE Transactions on Systems, Man and Cybernetics","id":"ITEM-1","issue":"6","issued":{"date-parts":[["1973"]]},"page":"610-621","title":"Textural Features for Image Classification","type":"article-journal","volume":"SMC-3"},"uris":["http://www.mendeley.com/documents/?uuid=fc771c56-c775-3522-b6cf-575c10f45f4a"]}],"mendeley":{"formattedCitation":"(Haralick et al., 1973)","plainTextFormattedCitation":"(Haralick et al., 1973)","previouslyFormattedCitation":"(Haralick et al., 1973)"},"properties":{"noteIndex":0},"schema":"https://github.com/citation-style-language/schema/raw/master/csl-citation.json"}</w:instrText>
            </w:r>
            <w:r w:rsidRPr="00662C14">
              <w:rPr>
                <w:rFonts w:ascii="Times New Roman" w:eastAsia="SimSun" w:hAnsi="Times New Roman" w:cs="Times New Roman"/>
              </w:rPr>
              <w:fldChar w:fldCharType="separate"/>
            </w:r>
            <w:r w:rsidRPr="00662C14">
              <w:rPr>
                <w:rFonts w:ascii="Times New Roman" w:eastAsia="SimSun" w:hAnsi="Times New Roman" w:cs="Times New Roman"/>
                <w:noProof/>
              </w:rPr>
              <w:t>(Haralick et al., 1973)</w:t>
            </w:r>
            <w:r w:rsidRPr="00662C14">
              <w:rPr>
                <w:rFonts w:ascii="Times New Roman" w:eastAsia="SimSun" w:hAnsi="Times New Roman" w:cs="Times New Roman"/>
              </w:rPr>
              <w:fldChar w:fldCharType="end"/>
            </w:r>
          </w:p>
        </w:tc>
      </w:tr>
      <w:tr w:rsidR="00662C14" w:rsidRPr="00662C14" w:rsidTr="004E5A80">
        <w:tc>
          <w:tcPr>
            <w:tcW w:w="0" w:type="auto"/>
            <w:vMerge w:val="restart"/>
            <w:textDirection w:val="btLr"/>
          </w:tcPr>
          <w:p w:rsidR="00662C14" w:rsidRPr="00662C14" w:rsidRDefault="00662C14" w:rsidP="00662C14">
            <w:pPr>
              <w:ind w:left="113" w:right="113"/>
              <w:jc w:val="center"/>
              <w:rPr>
                <w:rFonts w:asciiTheme="majorBidi" w:hAnsiTheme="majorBidi" w:cstheme="majorBidi"/>
                <w:sz w:val="24"/>
                <w:szCs w:val="24"/>
              </w:rPr>
            </w:pPr>
            <w:r w:rsidRPr="00662C14">
              <w:rPr>
                <w:rFonts w:asciiTheme="majorBidi" w:hAnsiTheme="majorBidi" w:cstheme="majorBidi"/>
                <w:sz w:val="24"/>
                <w:szCs w:val="24"/>
              </w:rPr>
              <w:t>Canopy Height Model</w:t>
            </w:r>
          </w:p>
        </w:tc>
        <w:tc>
          <w:tcPr>
            <w:tcW w:w="2097" w:type="dxa"/>
            <w:tcBorders>
              <w:top w:val="dashed" w:sz="4" w:space="0" w:color="auto"/>
            </w:tcBorders>
            <w:vAlign w:val="center"/>
          </w:tcPr>
          <w:p w:rsidR="00662C14" w:rsidRPr="00662C14" w:rsidRDefault="00662C14" w:rsidP="00662C14">
            <w:pPr>
              <w:jc w:val="both"/>
              <w:rPr>
                <w:rFonts w:asciiTheme="majorBidi" w:hAnsiTheme="majorBidi" w:cstheme="majorBidi"/>
              </w:rPr>
            </w:pPr>
            <w:r w:rsidRPr="00662C14">
              <w:rPr>
                <w:rFonts w:asciiTheme="majorBidi" w:hAnsiTheme="majorBidi" w:cstheme="majorBidi"/>
              </w:rPr>
              <w:t>Height entropy</w:t>
            </w:r>
          </w:p>
        </w:tc>
        <w:tc>
          <w:tcPr>
            <w:tcW w:w="1052" w:type="dxa"/>
            <w:tcBorders>
              <w:top w:val="dashed" w:sz="4" w:space="0" w:color="auto"/>
            </w:tcBorders>
            <w:vAlign w:val="center"/>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H</w:t>
            </w:r>
            <w:r w:rsidRPr="00662C14">
              <w:rPr>
                <w:rFonts w:asciiTheme="majorBidi" w:hAnsiTheme="majorBidi" w:cstheme="majorBidi"/>
                <w:vertAlign w:val="subscript"/>
              </w:rPr>
              <w:t>h</w:t>
            </w:r>
            <w:r w:rsidRPr="00662C14">
              <w:rPr>
                <w:rFonts w:asciiTheme="majorBidi" w:hAnsiTheme="majorBidi" w:cstheme="majorBidi"/>
              </w:rPr>
              <w:t>​</w:t>
            </w:r>
          </w:p>
        </w:tc>
        <w:tc>
          <w:tcPr>
            <w:tcW w:w="3256" w:type="dxa"/>
            <w:tcBorders>
              <w:top w:val="dashed" w:sz="4" w:space="0" w:color="auto"/>
            </w:tcBorders>
            <w:vAlign w:val="center"/>
          </w:tcPr>
          <w:p w:rsidR="00662C14" w:rsidRPr="00662C14" w:rsidRDefault="00662C14" w:rsidP="00662C14">
            <w:pPr>
              <w:jc w:val="both"/>
              <w:rPr>
                <w:rFonts w:asciiTheme="majorBidi" w:hAnsiTheme="majorBidi" w:cstheme="majorBidi"/>
              </w:rPr>
            </w:pPr>
            <m:oMathPara>
              <m:oMath>
                <m:r>
                  <m:rPr>
                    <m:nor/>
                  </m:rPr>
                  <w:rPr>
                    <w:rFonts w:asciiTheme="majorBidi" w:hAnsiTheme="majorBidi" w:cstheme="majorBidi"/>
                    <w:i/>
                    <w:iCs/>
                  </w:rPr>
                  <m:t>-</m:t>
                </m:r>
                <m:nary>
                  <m:naryPr>
                    <m:chr m:val="∑"/>
                    <m:limLoc m:val="undOvr"/>
                    <m:ctrlPr>
                      <w:rPr>
                        <w:rFonts w:ascii="Cambria Math" w:hAnsi="Cambria Math" w:cstheme="majorBidi"/>
                        <w:i/>
                        <w:iCs/>
                      </w:rPr>
                    </m:ctrlPr>
                  </m:naryPr>
                  <m:sub>
                    <m:r>
                      <m:rPr>
                        <m:nor/>
                      </m:rPr>
                      <w:rPr>
                        <w:rFonts w:asciiTheme="majorBidi" w:hAnsiTheme="majorBidi" w:cstheme="majorBidi"/>
                        <w:i/>
                        <w:iCs/>
                      </w:rPr>
                      <m:t>λ=1</m:t>
                    </m:r>
                  </m:sub>
                  <m:sup>
                    <m:r>
                      <m:rPr>
                        <m:nor/>
                      </m:rPr>
                      <w:rPr>
                        <w:rFonts w:asciiTheme="majorBidi" w:hAnsiTheme="majorBidi" w:cstheme="majorBidi"/>
                        <w:i/>
                        <w:iCs/>
                      </w:rPr>
                      <m:t>N</m:t>
                    </m:r>
                  </m:sup>
                  <m:e>
                    <m:sSub>
                      <m:sSubPr>
                        <m:ctrlPr>
                          <w:rPr>
                            <w:rFonts w:ascii="Cambria Math" w:hAnsi="Cambria Math" w:cstheme="majorBidi"/>
                            <w:i/>
                            <w:iCs/>
                          </w:rPr>
                        </m:ctrlPr>
                      </m:sSubPr>
                      <m:e>
                        <m:r>
                          <m:rPr>
                            <m:nor/>
                          </m:rPr>
                          <w:rPr>
                            <w:rFonts w:ascii="Cambria Math" w:hAnsiTheme="majorBidi" w:cstheme="majorBidi"/>
                            <w:i/>
                            <w:iCs/>
                          </w:rPr>
                          <m:t>q</m:t>
                        </m:r>
                      </m:e>
                      <m:sub>
                        <m:r>
                          <m:rPr>
                            <m:nor/>
                          </m:rPr>
                          <w:rPr>
                            <w:rFonts w:asciiTheme="majorBidi" w:hAnsiTheme="majorBidi" w:cstheme="majorBidi"/>
                            <w:i/>
                            <w:iCs/>
                          </w:rPr>
                          <m:t>k</m:t>
                        </m:r>
                      </m:sub>
                    </m:sSub>
                    <m:r>
                      <m:rPr>
                        <m:nor/>
                      </m:rPr>
                      <w:rPr>
                        <w:rFonts w:asciiTheme="majorBidi" w:hAnsiTheme="majorBidi" w:cstheme="majorBidi"/>
                        <w:i/>
                        <w:iCs/>
                      </w:rPr>
                      <m:t>ln</m:t>
                    </m:r>
                    <m:sSub>
                      <m:sSubPr>
                        <m:ctrlPr>
                          <w:rPr>
                            <w:rFonts w:ascii="Cambria Math" w:hAnsi="Cambria Math" w:cstheme="majorBidi"/>
                            <w:i/>
                            <w:iCs/>
                          </w:rPr>
                        </m:ctrlPr>
                      </m:sSubPr>
                      <m:e>
                        <m:r>
                          <m:rPr>
                            <m:nor/>
                          </m:rPr>
                          <w:rPr>
                            <w:rFonts w:asciiTheme="majorBidi" w:hAnsiTheme="majorBidi" w:cstheme="majorBidi"/>
                            <w:i/>
                            <w:iCs/>
                          </w:rPr>
                          <m:t>q</m:t>
                        </m:r>
                      </m:e>
                      <m:sub>
                        <m:r>
                          <m:rPr>
                            <m:nor/>
                          </m:rPr>
                          <w:rPr>
                            <w:rFonts w:asciiTheme="majorBidi" w:hAnsiTheme="majorBidi" w:cstheme="majorBidi"/>
                            <w:i/>
                            <w:iCs/>
                          </w:rPr>
                          <m:t>k</m:t>
                        </m:r>
                      </m:sub>
                    </m:sSub>
                  </m:e>
                </m:nary>
              </m:oMath>
            </m:oMathPara>
          </w:p>
        </w:tc>
        <w:tc>
          <w:tcPr>
            <w:tcW w:w="1457" w:type="dxa"/>
            <w:tcBorders>
              <w:top w:val="dashed" w:sz="4" w:space="0" w:color="auto"/>
            </w:tcBorders>
            <w:vAlign w:val="center"/>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fldChar w:fldCharType="begin" w:fldLock="1"/>
            </w:r>
            <w:r w:rsidRPr="00662C14">
              <w:rPr>
                <w:rFonts w:asciiTheme="majorBidi" w:hAnsiTheme="majorBidi" w:cstheme="majorBidi"/>
              </w:rPr>
              <w:instrText>ADDIN CSL_CITATION {"citationItems":[{"id":"ITEM-1","itemData":{"DOI":"10.1016/J.FORECO.2012.03.036","ISSN":"0378-1127","abstract":"This article performs an in-depth examination on whether indices of diversity and equitability among tree size classes are adequate for studying the structural complexity of forests. Diversity profiles and the intrinsic diversity ordering of several field plots were compared. Results demonstrated that even-sized stands are intrinsically non-comparable to uneven-sized stands with regard to their diversity of size classes. Indices describing the diversity of size classes are consequently inadequate, as they order forest structural types (FSTs) inconsistently. The concept of equitability, obtained when removing the richness component from entropy, seemed more adequate for this purpose. Indices of equitability among size classes provided more consistent measures, since the field plots had comparable intrinsic equitability ordering. Furthermore, ranking individual trees by their size is a better approach than ranking size classes, and therefore it is more correct to measure the inequality of tree sizes rather than equitability among size classes. A particular interpretation of Lorenz curves applies when they are used for the study of forest structures, as they should also be compared to a theoretical uniform distribution, and not just the diagonal line-of-absolute-equality. Advised indices are Gini coefficient (GC), De Camino homogeneity (CH), and structure index based on variance (STVI), as they all are consistent with the Lorenz ordering. © 2012 Elsevier B.V.","author":[{"dropping-particle":"","family":"Valbuena","given":"Rubén","non-dropping-particle":"","parse-names":false,"suffix":""},{"dropping-particle":"","family":"Packalén","given":"Petteri","non-dropping-particle":"","parse-names":false,"suffix":""},{"dropping-particle":"","family":"Martín-Fernández","given":"Susana","non-dropping-particle":"","parse-names":false,"suffix":""},{"dropping-particle":"","family":"Maltamo","given":"Matti","non-dropping-particle":"","parse-names":false,"suffix":""}],"container-title":"Forest Ecology and Management","id":"ITEM-1","issued":{"date-parts":[["2012","7","15"]]},"page":"185-195","publisher":"Elsevier","title":"Diversity and equitability ordering profiles applied to study forest structure","type":"article-journal","volume":"276"},"uris":["http://www.mendeley.com/documents/?uuid=599f3853-5f1c-30ed-bc54-ca5627ac4b0a"]}],"mendeley":{"formattedCitation":"(Valbuena et al., 2012)","plainTextFormattedCitation":"(Valbuena et al., 2012)","previouslyFormattedCitation":"(Valbuena et al., 2012)"},"properties":{"noteIndex":0},"schema":"https://github.com/citation-style-language/schema/raw/master/csl-citation.json"}</w:instrText>
            </w:r>
            <w:r w:rsidRPr="00662C14">
              <w:rPr>
                <w:rFonts w:asciiTheme="majorBidi" w:hAnsiTheme="majorBidi" w:cstheme="majorBidi"/>
              </w:rPr>
              <w:fldChar w:fldCharType="separate"/>
            </w:r>
            <w:r w:rsidRPr="00662C14">
              <w:rPr>
                <w:rFonts w:asciiTheme="majorBidi" w:hAnsiTheme="majorBidi" w:cstheme="majorBidi"/>
                <w:noProof/>
              </w:rPr>
              <w:t>(Valbuena et al., 2012)</w:t>
            </w:r>
            <w:r w:rsidRPr="00662C14">
              <w:rPr>
                <w:rFonts w:asciiTheme="majorBidi" w:hAnsiTheme="majorBidi" w:cstheme="majorBidi"/>
              </w:rPr>
              <w:fldChar w:fldCharType="end"/>
            </w:r>
          </w:p>
        </w:tc>
      </w:tr>
      <w:tr w:rsidR="00662C14" w:rsidRPr="00662C14" w:rsidTr="004E5A80">
        <w:trPr>
          <w:trHeight w:val="448"/>
        </w:trPr>
        <w:tc>
          <w:tcPr>
            <w:tcW w:w="0" w:type="auto"/>
            <w:vMerge/>
            <w:textDirection w:val="btLr"/>
          </w:tcPr>
          <w:p w:rsidR="00662C14" w:rsidRPr="00662C14" w:rsidRDefault="00662C14" w:rsidP="00662C14">
            <w:pPr>
              <w:ind w:left="113" w:right="113"/>
              <w:jc w:val="center"/>
              <w:rPr>
                <w:rFonts w:asciiTheme="majorBidi" w:hAnsiTheme="majorBidi" w:cstheme="majorBidi"/>
                <w:sz w:val="24"/>
                <w:szCs w:val="24"/>
              </w:rPr>
            </w:pPr>
          </w:p>
        </w:tc>
        <w:tc>
          <w:tcPr>
            <w:tcW w:w="2097" w:type="dxa"/>
          </w:tcPr>
          <w:p w:rsidR="00662C14" w:rsidRPr="00662C14" w:rsidRDefault="00662C14" w:rsidP="00662C14">
            <w:pPr>
              <w:jc w:val="both"/>
              <w:rPr>
                <w:rFonts w:asciiTheme="majorBidi" w:hAnsiTheme="majorBidi" w:cstheme="majorBidi"/>
              </w:rPr>
            </w:pPr>
            <w:r w:rsidRPr="00662C14">
              <w:rPr>
                <w:rFonts w:asciiTheme="majorBidi" w:hAnsiTheme="majorBidi" w:cstheme="majorBidi"/>
              </w:rPr>
              <w:t>Structural richness</w:t>
            </w:r>
          </w:p>
        </w:tc>
        <w:tc>
          <w:tcPr>
            <w:tcW w:w="1052" w:type="dxa"/>
          </w:tcPr>
          <w:p w:rsidR="00662C14" w:rsidRPr="00662C14" w:rsidRDefault="00662C14" w:rsidP="00662C14">
            <w:pPr>
              <w:jc w:val="center"/>
              <w:rPr>
                <w:rFonts w:asciiTheme="majorBidi" w:hAnsiTheme="majorBidi" w:cstheme="majorBidi"/>
              </w:rPr>
            </w:pPr>
            <w:r w:rsidRPr="00662C14">
              <w:rPr>
                <w:rFonts w:asciiTheme="majorBidi" w:hAnsiTheme="majorBidi" w:cstheme="majorBidi"/>
              </w:rPr>
              <w:t>S</w:t>
            </w:r>
            <w:r w:rsidRPr="00662C14">
              <w:rPr>
                <w:rFonts w:asciiTheme="majorBidi" w:hAnsiTheme="majorBidi" w:cstheme="majorBidi"/>
                <w:vertAlign w:val="subscript"/>
              </w:rPr>
              <w:t>h</w:t>
            </w:r>
            <w:r w:rsidRPr="00662C14">
              <w:rPr>
                <w:rFonts w:asciiTheme="majorBidi" w:hAnsiTheme="majorBidi" w:cstheme="majorBidi"/>
              </w:rPr>
              <w:t>​</w:t>
            </w:r>
          </w:p>
        </w:tc>
        <w:tc>
          <w:tcPr>
            <w:tcW w:w="3256" w:type="dxa"/>
          </w:tcPr>
          <w:p w:rsidR="00662C14" w:rsidRPr="00662C14" w:rsidRDefault="00662C14" w:rsidP="00662C14">
            <w:pPr>
              <w:jc w:val="center"/>
              <w:rPr>
                <w:rFonts w:ascii="Times New Roman" w:eastAsia="Calibri" w:hAnsi="Times New Roman" w:cs="Times New Roman"/>
                <w:iCs/>
              </w:rPr>
            </w:pPr>
            <w:r w:rsidRPr="00662C14">
              <w:rPr>
                <w:rFonts w:ascii="Times New Roman" w:eastAsia="Calibri" w:hAnsi="Times New Roman" w:cs="Times New Roman"/>
                <w:iCs/>
              </w:rPr>
              <w:t>-</w:t>
            </w:r>
          </w:p>
        </w:tc>
        <w:tc>
          <w:tcPr>
            <w:tcW w:w="1457" w:type="dxa"/>
          </w:tcPr>
          <w:p w:rsidR="00662C14" w:rsidRPr="00662C14" w:rsidRDefault="003931CE" w:rsidP="00662C14">
            <w:pPr>
              <w:jc w:val="center"/>
              <w:rPr>
                <w:rFonts w:asciiTheme="majorBidi" w:hAnsiTheme="majorBidi" w:cstheme="majorBidi"/>
              </w:rPr>
            </w:pPr>
            <w:r>
              <w:rPr>
                <w:rFonts w:asciiTheme="majorBidi" w:hAnsiTheme="majorBidi" w:cstheme="majorBidi"/>
              </w:rPr>
              <w:fldChar w:fldCharType="begin" w:fldLock="1"/>
            </w:r>
            <w:r w:rsidR="00160B1F">
              <w:rPr>
                <w:rFonts w:asciiTheme="majorBidi" w:hAnsiTheme="majorBidi" w:cstheme="majorBidi"/>
              </w:rPr>
              <w:instrText>ADDIN CSL_CITATION {"citationItems":[{"id":"ITEM-1","itemData":{"DOI":"10.1016/j.foreco.2005.08.034","ISSN":"03781127","abstract":"This paper reviews the literature concerning forest and woodland structure at the scale of an individual stand. Stand structure is defined in terms of structural attributes and stand structural complexity. Stand structural complexity is considered to be a measure of the number of different attributes present and the relative abundance of each of these attributes. The review indicates there is no definitive suite of structural attributes; different authors emphasise subsets of different attributes, and relatively few studies provide quantitative evidence linking attributes to the provision of faunal habitat or other measures of biodiversity, although a number of studies identify attributes that distinguish between successional stages. A summary of key structural attributes identified in the literature is presented under the following stand elements: foliage arrangement, canopy cover, tree diameter, tree height, tree spacing, tree species, stand biomass, understorey vegetation, and deadwood. Indices of structural complexity are also reviewed. Three types of index framework are identified: indices based on the cumulative score of attributes; indices based on the average score of groups of attributes; and indices based on the interaction of attributes. The review identifies a variety of different indices under each of these frameworks with no single index preferred over the others. The most prominent of these indices are discussed in detail and the following guidelines suggested for the development of an index of structural complexity: (1) Start with a comprehensive set of structural attributes, in which there is a demonstrated association between attributes and the elements of biodiversity that are of interest. (2) Use a simple mathematical system to construct the index; this facilitates the use of multiple attributes and interpretation of the index in terms of real stand conditions. (3) Score attributes relative to the range of values occurring in stands of a comparable vegetation community. (4) Try different weightings of attributes in the index, adopting those weightings which most clearly distinguish between stands. © 2005 Elsevier B.V. All rights reserved.","author":[{"dropping-particle":"","family":"McElhinny","given":"Chris","non-dropping-particle":"","parse-names":false,"suffix":""},{"dropping-particle":"","family":"Gibbons","given":"Phillip","non-dropping-particle":"","parse-names":false,"suffix":""},{"dropping-particle":"","family":"Brack","given":"Cris","non-dropping-particle":"","parse-names":false,"suffix":""},{"dropping-particle":"","family":"Bauhus","given":"Juergen","non-dropping-particle":"","parse-names":false,"suffix":""}],"container-title":"Forest Ecology and Management","id":"ITEM-1","issue":"1-3","issued":{"date-parts":[["2005","10","24"]]},"page":"1-24","title":"Forest and woodland stand structural complexity: Its definition and measurement","type":"article-journal","volume":"218"},"uris":["http://www.mendeley.com/documents/?uuid=b9477155-91ee-3060-b44c-4c8d4db9d0ad"]}],"mendeley":{"formattedCitation":"(McElhinny et al., 2005)","plainTextFormattedCitation":"(McElhinny et al., 2005)","previouslyFormattedCitation":"(McElhinny et al., 2005)"},"properties":{"noteIndex":0},"schema":"https://github.com/citation-style-language/schema/raw/master/csl-citation.json"}</w:instrText>
            </w:r>
            <w:r>
              <w:rPr>
                <w:rFonts w:asciiTheme="majorBidi" w:hAnsiTheme="majorBidi" w:cstheme="majorBidi"/>
              </w:rPr>
              <w:fldChar w:fldCharType="separate"/>
            </w:r>
            <w:r w:rsidRPr="003931CE">
              <w:rPr>
                <w:rFonts w:asciiTheme="majorBidi" w:hAnsiTheme="majorBidi" w:cstheme="majorBidi"/>
                <w:noProof/>
              </w:rPr>
              <w:t>(McElhinny et al., 2005)</w:t>
            </w:r>
            <w:r>
              <w:rPr>
                <w:rFonts w:asciiTheme="majorBidi" w:hAnsiTheme="majorBidi" w:cstheme="majorBidi"/>
              </w:rPr>
              <w:fldChar w:fldCharType="end"/>
            </w:r>
          </w:p>
        </w:tc>
      </w:tr>
    </w:tbl>
    <w:p w:rsidR="00500580" w:rsidRDefault="00500580" w:rsidP="008023C0">
      <w:pPr>
        <w:rPr>
          <w:rFonts w:asciiTheme="majorBidi" w:hAnsiTheme="majorBidi" w:cstheme="majorBidi"/>
          <w:b/>
          <w:bCs/>
          <w:sz w:val="24"/>
          <w:szCs w:val="24"/>
        </w:rPr>
      </w:pPr>
    </w:p>
    <w:p w:rsidR="00AA2EE9" w:rsidRPr="00AA2EE9" w:rsidRDefault="00AA2EE9" w:rsidP="00545891">
      <w:pPr>
        <w:spacing w:line="360" w:lineRule="auto"/>
        <w:jc w:val="both"/>
        <w:rPr>
          <w:rFonts w:asciiTheme="majorBidi" w:hAnsiTheme="majorBidi" w:cstheme="majorBidi"/>
          <w:sz w:val="24"/>
          <w:szCs w:val="24"/>
        </w:rPr>
      </w:pPr>
      <w:r w:rsidRPr="00AA2EE9">
        <w:rPr>
          <w:rFonts w:asciiTheme="majorBidi" w:hAnsiTheme="majorBidi" w:cstheme="majorBidi"/>
        </w:rPr>
        <w:t xml:space="preserve">Table S2. Robustness of UAV-based predictions of </w:t>
      </w:r>
      <w:proofErr w:type="spellStart"/>
      <w:r w:rsidRPr="00AA2EE9">
        <w:rPr>
          <w:rFonts w:asciiTheme="majorBidi" w:hAnsiTheme="majorBidi" w:cstheme="majorBidi"/>
        </w:rPr>
        <w:t>arbuscular</w:t>
      </w:r>
      <w:proofErr w:type="spellEnd"/>
      <w:r w:rsidRPr="00AA2EE9">
        <w:rPr>
          <w:rFonts w:asciiTheme="majorBidi" w:hAnsiTheme="majorBidi" w:cstheme="majorBidi"/>
        </w:rPr>
        <w:t xml:space="preserve"> </w:t>
      </w:r>
      <w:proofErr w:type="spellStart"/>
      <w:r w:rsidRPr="00AA2EE9">
        <w:rPr>
          <w:rFonts w:asciiTheme="majorBidi" w:hAnsiTheme="majorBidi" w:cstheme="majorBidi"/>
        </w:rPr>
        <w:t>mycorrhizal</w:t>
      </w:r>
      <w:proofErr w:type="spellEnd"/>
      <w:r w:rsidRPr="00AA2EE9">
        <w:rPr>
          <w:rFonts w:asciiTheme="majorBidi" w:hAnsiTheme="majorBidi" w:cstheme="majorBidi"/>
        </w:rPr>
        <w:t xml:space="preserve"> fungal abundance.</w:t>
      </w:r>
      <w:r w:rsidRPr="00AA2EE9">
        <w:rPr>
          <w:rFonts w:asciiTheme="majorBidi" w:hAnsiTheme="majorBidi" w:cstheme="majorBidi"/>
          <w:b/>
          <w:bCs/>
        </w:rPr>
        <w:t xml:space="preserve"> </w:t>
      </w:r>
      <w:r w:rsidRPr="00AA2EE9">
        <w:rPr>
          <w:rFonts w:asciiTheme="majorBidi" w:hAnsiTheme="majorBidi" w:cstheme="majorBidi"/>
        </w:rPr>
        <w:t xml:space="preserve">Predictive performance </w:t>
      </w:r>
      <w:proofErr w:type="gramStart"/>
      <w:r w:rsidRPr="00AA2EE9">
        <w:rPr>
          <w:rFonts w:asciiTheme="majorBidi" w:hAnsiTheme="majorBidi" w:cstheme="majorBidi"/>
        </w:rPr>
        <w:t>was evaluated</w:t>
      </w:r>
      <w:proofErr w:type="gramEnd"/>
      <w:r w:rsidRPr="00AA2EE9">
        <w:rPr>
          <w:rFonts w:asciiTheme="majorBidi" w:hAnsiTheme="majorBidi" w:cstheme="majorBidi"/>
        </w:rPr>
        <w:t xml:space="preserve"> separately for each UAV predictor group using 100 iterations of random 80:20 training-testing splits. R</w:t>
      </w:r>
      <w:r w:rsidRPr="00AA2EE9">
        <w:rPr>
          <w:rFonts w:asciiTheme="majorBidi" w:hAnsiTheme="majorBidi" w:cstheme="majorBidi"/>
          <w:vertAlign w:val="superscript"/>
        </w:rPr>
        <w:t>2</w:t>
      </w:r>
      <w:r w:rsidRPr="00AA2EE9">
        <w:rPr>
          <w:rFonts w:asciiTheme="majorBidi" w:hAnsiTheme="majorBidi" w:cstheme="majorBidi"/>
        </w:rPr>
        <w:t xml:space="preserve"> represents the squared Pearson correlation between observed and predicted log-transformed AMF abundance. RMSE represents the root mean squared prediction error on the log-transformed AMF scale. Values are means across the 100 repetitions, with standard deviations presented in parentheses. Sample size (n) indicates the number of observations without missing values available for each predictor group.</w:t>
      </w:r>
    </w:p>
    <w:tbl>
      <w:tblPr>
        <w:tblStyle w:val="TableGrid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701"/>
        <w:gridCol w:w="1560"/>
        <w:gridCol w:w="1984"/>
      </w:tblGrid>
      <w:tr w:rsidR="00AA2EE9" w:rsidRPr="00AA2EE9" w:rsidTr="004E5A80">
        <w:trPr>
          <w:jc w:val="center"/>
        </w:trPr>
        <w:tc>
          <w:tcPr>
            <w:tcW w:w="2263" w:type="dxa"/>
            <w:tcBorders>
              <w:top w:val="single" w:sz="4" w:space="0" w:color="auto"/>
              <w:bottom w:val="single" w:sz="4" w:space="0" w:color="auto"/>
            </w:tcBorders>
          </w:tcPr>
          <w:p w:rsidR="00AA2EE9" w:rsidRPr="00AA2EE9" w:rsidRDefault="00AA2EE9" w:rsidP="00AA2EE9">
            <w:pPr>
              <w:rPr>
                <w:rFonts w:asciiTheme="majorBidi" w:hAnsiTheme="majorBidi" w:cstheme="majorBidi"/>
                <w:b/>
                <w:bCs/>
                <w:szCs w:val="32"/>
              </w:rPr>
            </w:pPr>
            <w:r w:rsidRPr="00AA2EE9">
              <w:rPr>
                <w:rFonts w:asciiTheme="majorBidi" w:hAnsiTheme="majorBidi" w:cstheme="majorBidi"/>
                <w:b/>
                <w:bCs/>
                <w:szCs w:val="32"/>
              </w:rPr>
              <w:t>UAV predictor group</w:t>
            </w:r>
          </w:p>
        </w:tc>
        <w:tc>
          <w:tcPr>
            <w:tcW w:w="1701" w:type="dxa"/>
            <w:tcBorders>
              <w:top w:val="single" w:sz="4" w:space="0" w:color="auto"/>
              <w:bottom w:val="single" w:sz="4" w:space="0" w:color="auto"/>
            </w:tcBorders>
          </w:tcPr>
          <w:p w:rsidR="00AA2EE9" w:rsidRPr="00AA2EE9" w:rsidRDefault="00AA2EE9" w:rsidP="00AA2EE9">
            <w:pPr>
              <w:jc w:val="center"/>
              <w:rPr>
                <w:rFonts w:asciiTheme="majorBidi" w:hAnsiTheme="majorBidi" w:cstheme="majorBidi"/>
                <w:b/>
                <w:bCs/>
                <w:szCs w:val="32"/>
              </w:rPr>
            </w:pPr>
            <w:r w:rsidRPr="00AA2EE9">
              <w:rPr>
                <w:rFonts w:asciiTheme="majorBidi" w:hAnsiTheme="majorBidi" w:cstheme="majorBidi"/>
                <w:b/>
                <w:bCs/>
                <w:szCs w:val="32"/>
              </w:rPr>
              <w:t>Sample size (n)</w:t>
            </w:r>
          </w:p>
        </w:tc>
        <w:tc>
          <w:tcPr>
            <w:tcW w:w="1560" w:type="dxa"/>
            <w:tcBorders>
              <w:top w:val="single" w:sz="4" w:space="0" w:color="auto"/>
              <w:bottom w:val="single" w:sz="4" w:space="0" w:color="auto"/>
            </w:tcBorders>
          </w:tcPr>
          <w:p w:rsidR="00AA2EE9" w:rsidRPr="00AA2EE9" w:rsidRDefault="00AA2EE9" w:rsidP="00AA2EE9">
            <w:pPr>
              <w:jc w:val="center"/>
              <w:rPr>
                <w:rFonts w:asciiTheme="majorBidi" w:hAnsiTheme="majorBidi" w:cstheme="majorBidi"/>
                <w:b/>
                <w:bCs/>
                <w:szCs w:val="32"/>
              </w:rPr>
            </w:pPr>
            <w:r w:rsidRPr="00AA2EE9">
              <w:rPr>
                <w:rFonts w:asciiTheme="majorBidi" w:hAnsiTheme="majorBidi" w:cstheme="majorBidi"/>
                <w:b/>
                <w:bCs/>
                <w:szCs w:val="32"/>
              </w:rPr>
              <w:t>R², mean (SD)</w:t>
            </w:r>
          </w:p>
        </w:tc>
        <w:tc>
          <w:tcPr>
            <w:tcW w:w="1984" w:type="dxa"/>
            <w:tcBorders>
              <w:top w:val="single" w:sz="4" w:space="0" w:color="auto"/>
              <w:bottom w:val="single" w:sz="4" w:space="0" w:color="auto"/>
            </w:tcBorders>
          </w:tcPr>
          <w:p w:rsidR="00AA2EE9" w:rsidRPr="00AA2EE9" w:rsidRDefault="00AA2EE9" w:rsidP="00AA2EE9">
            <w:pPr>
              <w:jc w:val="center"/>
              <w:rPr>
                <w:rFonts w:asciiTheme="majorBidi" w:hAnsiTheme="majorBidi" w:cstheme="majorBidi"/>
                <w:b/>
                <w:bCs/>
                <w:szCs w:val="32"/>
              </w:rPr>
            </w:pPr>
            <w:r w:rsidRPr="00AA2EE9">
              <w:rPr>
                <w:rFonts w:asciiTheme="majorBidi" w:hAnsiTheme="majorBidi" w:cstheme="majorBidi"/>
                <w:b/>
                <w:bCs/>
                <w:szCs w:val="32"/>
              </w:rPr>
              <w:t>RMSE, mean (SD)</w:t>
            </w:r>
          </w:p>
        </w:tc>
      </w:tr>
      <w:tr w:rsidR="00AA2EE9" w:rsidRPr="00AA2EE9" w:rsidTr="004E5A80">
        <w:trPr>
          <w:jc w:val="center"/>
        </w:trPr>
        <w:tc>
          <w:tcPr>
            <w:tcW w:w="2263" w:type="dxa"/>
            <w:tcBorders>
              <w:top w:val="single" w:sz="4" w:space="0" w:color="auto"/>
            </w:tcBorders>
            <w:vAlign w:val="center"/>
          </w:tcPr>
          <w:p w:rsidR="00AA2EE9" w:rsidRPr="00AA2EE9" w:rsidRDefault="00AA2EE9" w:rsidP="00AA2EE9">
            <w:pPr>
              <w:rPr>
                <w:rFonts w:asciiTheme="majorBidi" w:hAnsiTheme="majorBidi" w:cstheme="majorBidi"/>
                <w:szCs w:val="32"/>
              </w:rPr>
            </w:pPr>
            <w:r w:rsidRPr="00AA2EE9">
              <w:rPr>
                <w:rFonts w:asciiTheme="majorBidi" w:hAnsiTheme="majorBidi" w:cstheme="majorBidi"/>
                <w:szCs w:val="32"/>
              </w:rPr>
              <w:t>Spectral diversity</w:t>
            </w:r>
          </w:p>
        </w:tc>
        <w:tc>
          <w:tcPr>
            <w:tcW w:w="1701" w:type="dxa"/>
            <w:tcBorders>
              <w:top w:val="single" w:sz="4" w:space="0" w:color="auto"/>
            </w:tcBorders>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144</w:t>
            </w:r>
          </w:p>
        </w:tc>
        <w:tc>
          <w:tcPr>
            <w:tcW w:w="1560" w:type="dxa"/>
            <w:tcBorders>
              <w:top w:val="single" w:sz="4" w:space="0" w:color="auto"/>
            </w:tcBorders>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0.20 (0.13)</w:t>
            </w:r>
          </w:p>
        </w:tc>
        <w:tc>
          <w:tcPr>
            <w:tcW w:w="1984" w:type="dxa"/>
            <w:tcBorders>
              <w:top w:val="single" w:sz="4" w:space="0" w:color="auto"/>
            </w:tcBorders>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0.98 (0.12)</w:t>
            </w:r>
          </w:p>
        </w:tc>
      </w:tr>
      <w:tr w:rsidR="00AA2EE9" w:rsidRPr="00AA2EE9" w:rsidTr="004E5A80">
        <w:trPr>
          <w:jc w:val="center"/>
        </w:trPr>
        <w:tc>
          <w:tcPr>
            <w:tcW w:w="2263" w:type="dxa"/>
            <w:vAlign w:val="center"/>
          </w:tcPr>
          <w:p w:rsidR="00AA2EE9" w:rsidRPr="00AA2EE9" w:rsidRDefault="00AA2EE9" w:rsidP="00AA2EE9">
            <w:pPr>
              <w:rPr>
                <w:rFonts w:asciiTheme="majorBidi" w:hAnsiTheme="majorBidi" w:cstheme="majorBidi"/>
                <w:szCs w:val="32"/>
              </w:rPr>
            </w:pPr>
            <w:r w:rsidRPr="00AA2EE9">
              <w:rPr>
                <w:rFonts w:asciiTheme="majorBidi" w:hAnsiTheme="majorBidi" w:cstheme="majorBidi"/>
                <w:szCs w:val="32"/>
              </w:rPr>
              <w:t>Texture</w:t>
            </w:r>
          </w:p>
        </w:tc>
        <w:tc>
          <w:tcPr>
            <w:tcW w:w="1701"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81</w:t>
            </w:r>
          </w:p>
        </w:tc>
        <w:tc>
          <w:tcPr>
            <w:tcW w:w="1560"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0.36 (0.17)</w:t>
            </w:r>
          </w:p>
        </w:tc>
        <w:tc>
          <w:tcPr>
            <w:tcW w:w="1984"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0.83 (0.17)</w:t>
            </w:r>
          </w:p>
        </w:tc>
      </w:tr>
      <w:tr w:rsidR="00AA2EE9" w:rsidRPr="00AA2EE9" w:rsidTr="004E5A80">
        <w:trPr>
          <w:jc w:val="center"/>
        </w:trPr>
        <w:tc>
          <w:tcPr>
            <w:tcW w:w="2263" w:type="dxa"/>
            <w:vAlign w:val="center"/>
          </w:tcPr>
          <w:p w:rsidR="00AA2EE9" w:rsidRPr="00AA2EE9" w:rsidRDefault="00AA2EE9" w:rsidP="00AA2EE9">
            <w:pPr>
              <w:rPr>
                <w:rFonts w:asciiTheme="majorBidi" w:hAnsiTheme="majorBidi" w:cstheme="majorBidi"/>
                <w:szCs w:val="32"/>
              </w:rPr>
            </w:pPr>
            <w:r w:rsidRPr="00AA2EE9">
              <w:rPr>
                <w:rFonts w:asciiTheme="majorBidi" w:hAnsiTheme="majorBidi" w:cstheme="majorBidi"/>
                <w:szCs w:val="32"/>
              </w:rPr>
              <w:t>Vegetation indices</w:t>
            </w:r>
          </w:p>
        </w:tc>
        <w:tc>
          <w:tcPr>
            <w:tcW w:w="1701"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144</w:t>
            </w:r>
          </w:p>
        </w:tc>
        <w:tc>
          <w:tcPr>
            <w:tcW w:w="1560"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0.22 (0.12)</w:t>
            </w:r>
          </w:p>
        </w:tc>
        <w:tc>
          <w:tcPr>
            <w:tcW w:w="1984"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1.15 (0.95)</w:t>
            </w:r>
          </w:p>
        </w:tc>
      </w:tr>
      <w:tr w:rsidR="00AA2EE9" w:rsidRPr="00AA2EE9" w:rsidTr="004E5A80">
        <w:trPr>
          <w:jc w:val="center"/>
        </w:trPr>
        <w:tc>
          <w:tcPr>
            <w:tcW w:w="2263" w:type="dxa"/>
            <w:vAlign w:val="center"/>
          </w:tcPr>
          <w:p w:rsidR="00AA2EE9" w:rsidRPr="00AA2EE9" w:rsidRDefault="00AA2EE9" w:rsidP="00AA2EE9">
            <w:pPr>
              <w:rPr>
                <w:rFonts w:asciiTheme="majorBidi" w:hAnsiTheme="majorBidi" w:cstheme="majorBidi"/>
                <w:szCs w:val="32"/>
              </w:rPr>
            </w:pPr>
            <w:r w:rsidRPr="00AA2EE9">
              <w:rPr>
                <w:rFonts w:asciiTheme="majorBidi" w:hAnsiTheme="majorBidi" w:cstheme="majorBidi"/>
                <w:szCs w:val="32"/>
              </w:rPr>
              <w:t>Canopy height</w:t>
            </w:r>
          </w:p>
        </w:tc>
        <w:tc>
          <w:tcPr>
            <w:tcW w:w="1701"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132</w:t>
            </w:r>
          </w:p>
        </w:tc>
        <w:tc>
          <w:tcPr>
            <w:tcW w:w="1560"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0.09 (0.09)</w:t>
            </w:r>
          </w:p>
        </w:tc>
        <w:tc>
          <w:tcPr>
            <w:tcW w:w="1984" w:type="dxa"/>
            <w:vAlign w:val="center"/>
          </w:tcPr>
          <w:p w:rsidR="00AA2EE9" w:rsidRPr="00AA2EE9" w:rsidRDefault="00AA2EE9" w:rsidP="00AA2EE9">
            <w:pPr>
              <w:jc w:val="center"/>
              <w:rPr>
                <w:rFonts w:asciiTheme="majorBidi" w:hAnsiTheme="majorBidi" w:cstheme="majorBidi"/>
                <w:szCs w:val="32"/>
              </w:rPr>
            </w:pPr>
            <w:r w:rsidRPr="00AA2EE9">
              <w:rPr>
                <w:rFonts w:asciiTheme="majorBidi" w:hAnsiTheme="majorBidi" w:cstheme="majorBidi"/>
                <w:szCs w:val="32"/>
              </w:rPr>
              <w:t>0.99 (0.11)</w:t>
            </w:r>
          </w:p>
        </w:tc>
      </w:tr>
    </w:tbl>
    <w:p w:rsidR="00AA2EE9" w:rsidRDefault="00AA2EE9" w:rsidP="00AA2EE9">
      <w:pPr>
        <w:jc w:val="both"/>
        <w:rPr>
          <w:rFonts w:asciiTheme="majorBidi" w:hAnsiTheme="majorBidi" w:cstheme="majorBidi"/>
        </w:rPr>
      </w:pPr>
    </w:p>
    <w:p w:rsidR="000E7F2A" w:rsidRPr="000E7F2A" w:rsidRDefault="000E7F2A" w:rsidP="00545891">
      <w:pPr>
        <w:spacing w:line="360" w:lineRule="auto"/>
        <w:jc w:val="both"/>
        <w:rPr>
          <w:rFonts w:asciiTheme="majorBidi" w:hAnsiTheme="majorBidi" w:cstheme="majorBidi"/>
        </w:rPr>
      </w:pPr>
      <w:r w:rsidRPr="000E7F2A">
        <w:rPr>
          <w:rFonts w:asciiTheme="majorBidi" w:hAnsiTheme="majorBidi" w:cstheme="majorBidi"/>
        </w:rPr>
        <w:t>Table S</w:t>
      </w:r>
      <w:r w:rsidR="00AA2EE9">
        <w:rPr>
          <w:rFonts w:asciiTheme="majorBidi" w:hAnsiTheme="majorBidi" w:cstheme="majorBidi"/>
        </w:rPr>
        <w:t>3</w:t>
      </w:r>
      <w:r w:rsidRPr="000E7F2A">
        <w:rPr>
          <w:rFonts w:asciiTheme="majorBidi" w:hAnsiTheme="majorBidi" w:cstheme="majorBidi"/>
        </w:rPr>
        <w:t xml:space="preserve">. Standardised path coefficients from the piecewise structural equation model (SEM) testing hypothesised links among climate (CLIM_PC1), UAV-derived vegetation indices (VIS_PC1), plant diversity (BIO_PC1), canopy height metrics (CHM_PC1), and </w:t>
      </w:r>
      <w:proofErr w:type="spellStart"/>
      <w:r w:rsidRPr="000E7F2A">
        <w:rPr>
          <w:rFonts w:asciiTheme="majorBidi" w:hAnsiTheme="majorBidi" w:cstheme="majorBidi"/>
        </w:rPr>
        <w:t>arbuscular</w:t>
      </w:r>
      <w:proofErr w:type="spellEnd"/>
      <w:r w:rsidRPr="000E7F2A">
        <w:rPr>
          <w:rFonts w:asciiTheme="majorBidi" w:hAnsiTheme="majorBidi" w:cstheme="majorBidi"/>
        </w:rPr>
        <w:t xml:space="preserve"> </w:t>
      </w:r>
      <w:proofErr w:type="spellStart"/>
      <w:r w:rsidRPr="000E7F2A">
        <w:rPr>
          <w:rFonts w:asciiTheme="majorBidi" w:hAnsiTheme="majorBidi" w:cstheme="majorBidi"/>
        </w:rPr>
        <w:t>mycorrhizal</w:t>
      </w:r>
      <w:proofErr w:type="spellEnd"/>
      <w:r w:rsidRPr="000E7F2A">
        <w:rPr>
          <w:rFonts w:asciiTheme="majorBidi" w:hAnsiTheme="majorBidi" w:cstheme="majorBidi"/>
        </w:rPr>
        <w:t xml:space="preserve"> fungi abundance (</w:t>
      </w:r>
      <w:proofErr w:type="spellStart"/>
      <w:r w:rsidRPr="000E7F2A">
        <w:rPr>
          <w:rFonts w:asciiTheme="majorBidi" w:hAnsiTheme="majorBidi" w:cstheme="majorBidi"/>
        </w:rPr>
        <w:t>AMF_z</w:t>
      </w:r>
      <w:proofErr w:type="spellEnd"/>
      <w:r w:rsidRPr="000E7F2A">
        <w:rPr>
          <w:rFonts w:asciiTheme="majorBidi" w:hAnsiTheme="majorBidi" w:cstheme="majorBidi"/>
        </w:rPr>
        <w:t>). Values shown are standardised regression coefficients (β) with standard errors (SE), degrees of freedom (</w:t>
      </w:r>
      <w:proofErr w:type="spellStart"/>
      <w:proofErr w:type="gramStart"/>
      <w:r w:rsidRPr="000E7F2A">
        <w:rPr>
          <w:rFonts w:asciiTheme="majorBidi" w:hAnsiTheme="majorBidi" w:cstheme="majorBidi"/>
        </w:rPr>
        <w:t>df</w:t>
      </w:r>
      <w:proofErr w:type="spellEnd"/>
      <w:proofErr w:type="gramEnd"/>
      <w:r w:rsidRPr="000E7F2A">
        <w:rPr>
          <w:rFonts w:asciiTheme="majorBidi" w:hAnsiTheme="majorBidi" w:cstheme="majorBidi"/>
        </w:rPr>
        <w:t>), and p-values from the component linear mixed-effects models (garden as a random intercept). Significance codes: ns p ≥ 0.05; * p &lt; 0.05; ** p &lt; 0.01; *** p &lt; 0.001.</w:t>
      </w:r>
    </w:p>
    <w:tbl>
      <w:tblPr>
        <w:tblStyle w:val="TableGrid"/>
        <w:tblpPr w:leftFromText="180" w:rightFromText="180" w:vertAnchor="text" w:horzAnchor="margin" w:tblpXSpec="center" w:tblpY="19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8"/>
        <w:gridCol w:w="2275"/>
        <w:gridCol w:w="726"/>
        <w:gridCol w:w="607"/>
        <w:gridCol w:w="830"/>
        <w:gridCol w:w="913"/>
        <w:gridCol w:w="565"/>
      </w:tblGrid>
      <w:tr w:rsidR="000E7F2A" w:rsidRPr="00853AC5" w:rsidTr="004E5A80">
        <w:tc>
          <w:tcPr>
            <w:tcW w:w="0" w:type="auto"/>
            <w:tcBorders>
              <w:top w:val="single" w:sz="4" w:space="0" w:color="auto"/>
              <w:bottom w:val="single" w:sz="4" w:space="0" w:color="auto"/>
            </w:tcBorders>
            <w:hideMark/>
          </w:tcPr>
          <w:p w:rsidR="000E7F2A" w:rsidRPr="00853AC5" w:rsidRDefault="000E7F2A" w:rsidP="004E5A80">
            <w:pPr>
              <w:jc w:val="center"/>
              <w:rPr>
                <w:rFonts w:ascii="Times New Roman" w:eastAsia="Times New Roman" w:hAnsi="Times New Roman" w:cs="Times New Roman"/>
                <w:b/>
                <w:bCs/>
                <w:lang w:eastAsia="en-GB"/>
              </w:rPr>
            </w:pPr>
            <w:r w:rsidRPr="00853AC5">
              <w:rPr>
                <w:rFonts w:ascii="Times New Roman" w:eastAsia="Times New Roman" w:hAnsi="Times New Roman" w:cs="Times New Roman"/>
                <w:b/>
                <w:bCs/>
                <w:lang w:eastAsia="en-GB"/>
              </w:rPr>
              <w:t>Response (endogenous)</w:t>
            </w:r>
          </w:p>
        </w:tc>
        <w:tc>
          <w:tcPr>
            <w:tcW w:w="0" w:type="auto"/>
            <w:tcBorders>
              <w:top w:val="single" w:sz="4" w:space="0" w:color="auto"/>
              <w:bottom w:val="single" w:sz="4" w:space="0" w:color="auto"/>
            </w:tcBorders>
            <w:hideMark/>
          </w:tcPr>
          <w:p w:rsidR="000E7F2A" w:rsidRPr="00853AC5" w:rsidRDefault="000E7F2A" w:rsidP="004E5A80">
            <w:pPr>
              <w:jc w:val="center"/>
              <w:rPr>
                <w:rFonts w:ascii="Times New Roman" w:eastAsia="Times New Roman" w:hAnsi="Times New Roman" w:cs="Times New Roman"/>
                <w:b/>
                <w:bCs/>
                <w:lang w:eastAsia="en-GB"/>
              </w:rPr>
            </w:pPr>
            <w:r w:rsidRPr="00853AC5">
              <w:rPr>
                <w:rFonts w:ascii="Times New Roman" w:eastAsia="Times New Roman" w:hAnsi="Times New Roman" w:cs="Times New Roman"/>
                <w:b/>
                <w:bCs/>
                <w:lang w:eastAsia="en-GB"/>
              </w:rPr>
              <w:t>Predictor (exogenous)</w:t>
            </w:r>
          </w:p>
        </w:tc>
        <w:tc>
          <w:tcPr>
            <w:tcW w:w="0" w:type="auto"/>
            <w:tcBorders>
              <w:top w:val="single" w:sz="4" w:space="0" w:color="auto"/>
              <w:bottom w:val="single" w:sz="4" w:space="0" w:color="auto"/>
            </w:tcBorders>
            <w:hideMark/>
          </w:tcPr>
          <w:p w:rsidR="000E7F2A" w:rsidRPr="00853AC5" w:rsidRDefault="000E7F2A" w:rsidP="004E5A80">
            <w:pPr>
              <w:jc w:val="center"/>
              <w:rPr>
                <w:rFonts w:ascii="Times New Roman" w:eastAsia="Times New Roman" w:hAnsi="Times New Roman" w:cs="Times New Roman"/>
                <w:b/>
                <w:bCs/>
                <w:lang w:eastAsia="en-GB"/>
              </w:rPr>
            </w:pPr>
            <w:r w:rsidRPr="00853AC5">
              <w:rPr>
                <w:rFonts w:ascii="Times New Roman" w:eastAsia="Times New Roman" w:hAnsi="Times New Roman" w:cs="Times New Roman"/>
                <w:b/>
                <w:bCs/>
                <w:lang w:eastAsia="en-GB"/>
              </w:rPr>
              <w:t xml:space="preserve">β </w:t>
            </w:r>
          </w:p>
        </w:tc>
        <w:tc>
          <w:tcPr>
            <w:tcW w:w="0" w:type="auto"/>
            <w:tcBorders>
              <w:top w:val="single" w:sz="4" w:space="0" w:color="auto"/>
              <w:bottom w:val="single" w:sz="4" w:space="0" w:color="auto"/>
            </w:tcBorders>
            <w:vAlign w:val="center"/>
            <w:hideMark/>
          </w:tcPr>
          <w:p w:rsidR="000E7F2A" w:rsidRPr="00853AC5" w:rsidRDefault="000E7F2A" w:rsidP="004E5A80">
            <w:pPr>
              <w:jc w:val="center"/>
              <w:rPr>
                <w:rFonts w:ascii="Times New Roman" w:eastAsia="Times New Roman" w:hAnsi="Times New Roman" w:cs="Times New Roman"/>
                <w:b/>
                <w:bCs/>
                <w:lang w:eastAsia="en-GB"/>
              </w:rPr>
            </w:pPr>
            <w:r w:rsidRPr="00853AC5">
              <w:rPr>
                <w:rFonts w:ascii="Times New Roman" w:eastAsia="Times New Roman" w:hAnsi="Times New Roman" w:cs="Times New Roman"/>
                <w:b/>
                <w:bCs/>
                <w:lang w:eastAsia="en-GB"/>
              </w:rPr>
              <w:t>SE</w:t>
            </w:r>
          </w:p>
        </w:tc>
        <w:tc>
          <w:tcPr>
            <w:tcW w:w="0" w:type="auto"/>
            <w:tcBorders>
              <w:top w:val="single" w:sz="4" w:space="0" w:color="auto"/>
              <w:bottom w:val="single" w:sz="4" w:space="0" w:color="auto"/>
            </w:tcBorders>
            <w:vAlign w:val="center"/>
            <w:hideMark/>
          </w:tcPr>
          <w:p w:rsidR="000E7F2A" w:rsidRPr="00853AC5" w:rsidRDefault="000E7F2A" w:rsidP="004E5A80">
            <w:pPr>
              <w:jc w:val="center"/>
              <w:rPr>
                <w:rFonts w:ascii="Times New Roman" w:eastAsia="Times New Roman" w:hAnsi="Times New Roman" w:cs="Times New Roman"/>
                <w:b/>
                <w:bCs/>
                <w:lang w:eastAsia="en-GB"/>
              </w:rPr>
            </w:pPr>
            <w:proofErr w:type="spellStart"/>
            <w:r w:rsidRPr="00853AC5">
              <w:rPr>
                <w:rFonts w:ascii="Times New Roman" w:eastAsia="Times New Roman" w:hAnsi="Times New Roman" w:cs="Times New Roman"/>
                <w:b/>
                <w:bCs/>
                <w:lang w:eastAsia="en-GB"/>
              </w:rPr>
              <w:t>df</w:t>
            </w:r>
            <w:proofErr w:type="spellEnd"/>
          </w:p>
        </w:tc>
        <w:tc>
          <w:tcPr>
            <w:tcW w:w="0" w:type="auto"/>
            <w:tcBorders>
              <w:top w:val="single" w:sz="4" w:space="0" w:color="auto"/>
              <w:bottom w:val="single" w:sz="4" w:space="0" w:color="auto"/>
            </w:tcBorders>
            <w:hideMark/>
          </w:tcPr>
          <w:p w:rsidR="000E7F2A" w:rsidRPr="00853AC5" w:rsidRDefault="000E7F2A" w:rsidP="004E5A80">
            <w:pPr>
              <w:jc w:val="center"/>
              <w:rPr>
                <w:rFonts w:ascii="Times New Roman" w:eastAsia="Times New Roman" w:hAnsi="Times New Roman" w:cs="Times New Roman"/>
                <w:b/>
                <w:bCs/>
                <w:lang w:eastAsia="en-GB"/>
              </w:rPr>
            </w:pPr>
            <w:r w:rsidRPr="00853AC5">
              <w:rPr>
                <w:rFonts w:ascii="Times New Roman" w:eastAsia="Times New Roman" w:hAnsi="Times New Roman" w:cs="Times New Roman"/>
                <w:b/>
                <w:bCs/>
                <w:lang w:eastAsia="en-GB"/>
              </w:rPr>
              <w:t>p-value</w:t>
            </w:r>
          </w:p>
        </w:tc>
        <w:tc>
          <w:tcPr>
            <w:tcW w:w="0" w:type="auto"/>
            <w:tcBorders>
              <w:top w:val="single" w:sz="4" w:space="0" w:color="auto"/>
              <w:bottom w:val="single" w:sz="4" w:space="0" w:color="auto"/>
            </w:tcBorders>
            <w:hideMark/>
          </w:tcPr>
          <w:p w:rsidR="000E7F2A" w:rsidRPr="00853AC5" w:rsidRDefault="000E7F2A" w:rsidP="004E5A80">
            <w:pPr>
              <w:jc w:val="center"/>
              <w:rPr>
                <w:rFonts w:ascii="Times New Roman" w:eastAsia="Times New Roman" w:hAnsi="Times New Roman" w:cs="Times New Roman"/>
                <w:b/>
                <w:bCs/>
                <w:lang w:eastAsia="en-GB"/>
              </w:rPr>
            </w:pPr>
            <w:r w:rsidRPr="00853AC5">
              <w:rPr>
                <w:rFonts w:ascii="Times New Roman" w:eastAsia="Times New Roman" w:hAnsi="Times New Roman" w:cs="Times New Roman"/>
                <w:b/>
                <w:bCs/>
                <w:lang w:eastAsia="en-GB"/>
              </w:rPr>
              <w:t>Sig.</w:t>
            </w:r>
          </w:p>
        </w:tc>
      </w:tr>
      <w:tr w:rsidR="000E7F2A" w:rsidRPr="00853AC5" w:rsidTr="000E7F2A">
        <w:tc>
          <w:tcPr>
            <w:tcW w:w="0" w:type="auto"/>
            <w:vMerge w:val="restart"/>
            <w:tcBorders>
              <w:top w:val="single" w:sz="4" w:space="0" w:color="auto"/>
            </w:tcBorders>
            <w:vAlign w:val="center"/>
            <w:hideMark/>
          </w:tcPr>
          <w:p w:rsidR="000E7F2A" w:rsidRPr="00853AC5" w:rsidRDefault="000E7F2A" w:rsidP="004E5A80">
            <w:pPr>
              <w:jc w:val="center"/>
              <w:rPr>
                <w:rFonts w:ascii="Times New Roman" w:eastAsia="Times New Roman" w:hAnsi="Times New Roman" w:cs="Times New Roman"/>
                <w:lang w:eastAsia="en-GB"/>
              </w:rPr>
            </w:pPr>
            <w:r>
              <w:rPr>
                <w:rFonts w:ascii="Times New Roman" w:eastAsia="Times New Roman" w:hAnsi="Times New Roman" w:cs="Times New Roman"/>
                <w:lang w:eastAsia="en-GB"/>
              </w:rPr>
              <w:t>Biodiversity</w:t>
            </w:r>
          </w:p>
        </w:tc>
        <w:tc>
          <w:tcPr>
            <w:tcW w:w="0" w:type="auto"/>
            <w:tcBorders>
              <w:top w:val="single"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Climate </w:t>
            </w:r>
          </w:p>
        </w:tc>
        <w:tc>
          <w:tcPr>
            <w:tcW w:w="0" w:type="auto"/>
            <w:tcBorders>
              <w:top w:val="single" w:sz="4" w:space="0" w:color="auto"/>
              <w:bottom w:val="nil"/>
            </w:tcBorders>
            <w:hideMark/>
          </w:tcPr>
          <w:p w:rsidR="000E7F2A" w:rsidRPr="00853AC5" w:rsidRDefault="000E7F2A" w:rsidP="000E7F2A">
            <w:pPr>
              <w:jc w:val="center"/>
              <w:rPr>
                <w:rFonts w:ascii="Times New Roman" w:eastAsia="Times New Roman" w:hAnsi="Times New Roman" w:cs="Times New Roman"/>
                <w:lang w:eastAsia="en-GB"/>
              </w:rPr>
            </w:pPr>
            <w:r w:rsidRPr="000E7F2A">
              <w:rPr>
                <w:rFonts w:ascii="Times New Roman" w:eastAsia="Times New Roman" w:hAnsi="Times New Roman" w:cs="Times New Roman"/>
                <w:lang w:eastAsia="en-GB"/>
              </w:rPr>
              <w:t>0.3</w:t>
            </w:r>
            <w:r>
              <w:rPr>
                <w:rFonts w:ascii="Times New Roman" w:eastAsia="Times New Roman" w:hAnsi="Times New Roman" w:cs="Times New Roman"/>
                <w:lang w:eastAsia="en-GB"/>
              </w:rPr>
              <w:t>6</w:t>
            </w:r>
          </w:p>
        </w:tc>
        <w:tc>
          <w:tcPr>
            <w:tcW w:w="0" w:type="auto"/>
            <w:tcBorders>
              <w:top w:val="single" w:sz="4" w:space="0" w:color="auto"/>
              <w:bottom w:val="nil"/>
            </w:tcBorders>
            <w:hideMark/>
          </w:tcPr>
          <w:p w:rsidR="000E7F2A" w:rsidRPr="00853AC5" w:rsidRDefault="000E7F2A" w:rsidP="000E7F2A">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0.1</w:t>
            </w:r>
            <w:r>
              <w:rPr>
                <w:rFonts w:ascii="Times New Roman" w:eastAsia="Times New Roman" w:hAnsi="Times New Roman" w:cs="Times New Roman"/>
                <w:lang w:eastAsia="en-GB"/>
              </w:rPr>
              <w:t>1</w:t>
            </w:r>
          </w:p>
        </w:tc>
        <w:tc>
          <w:tcPr>
            <w:tcW w:w="0" w:type="auto"/>
            <w:tcBorders>
              <w:top w:val="single" w:sz="4" w:space="0" w:color="auto"/>
              <w:bottom w:val="nil"/>
            </w:tcBorders>
            <w:hideMark/>
          </w:tcPr>
          <w:p w:rsidR="000E7F2A" w:rsidRPr="00853AC5" w:rsidRDefault="000E7F2A" w:rsidP="000E7F2A">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12</w:t>
            </w:r>
            <w:r>
              <w:rPr>
                <w:rFonts w:ascii="Times New Roman" w:eastAsia="Times New Roman" w:hAnsi="Times New Roman" w:cs="Times New Roman"/>
                <w:lang w:eastAsia="en-GB"/>
              </w:rPr>
              <w:t>2</w:t>
            </w:r>
            <w:r w:rsidRPr="00853AC5">
              <w:rPr>
                <w:rFonts w:ascii="Times New Roman" w:eastAsia="Times New Roman" w:hAnsi="Times New Roman" w:cs="Times New Roman"/>
                <w:lang w:eastAsia="en-GB"/>
              </w:rPr>
              <w:t>.</w:t>
            </w:r>
            <w:r>
              <w:rPr>
                <w:rFonts w:ascii="Times New Roman" w:eastAsia="Times New Roman" w:hAnsi="Times New Roman" w:cs="Times New Roman"/>
                <w:lang w:eastAsia="en-GB"/>
              </w:rPr>
              <w:t>0</w:t>
            </w:r>
            <w:r w:rsidRPr="00853AC5">
              <w:rPr>
                <w:rFonts w:ascii="Times New Roman" w:eastAsia="Times New Roman" w:hAnsi="Times New Roman" w:cs="Times New Roman"/>
                <w:lang w:eastAsia="en-GB"/>
              </w:rPr>
              <w:t>1</w:t>
            </w:r>
          </w:p>
        </w:tc>
        <w:tc>
          <w:tcPr>
            <w:tcW w:w="0" w:type="auto"/>
            <w:tcBorders>
              <w:top w:val="single"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0.00</w:t>
            </w:r>
            <w:r>
              <w:rPr>
                <w:rFonts w:ascii="Times New Roman" w:eastAsia="Times New Roman" w:hAnsi="Times New Roman" w:cs="Times New Roman"/>
                <w:lang w:eastAsia="en-GB"/>
              </w:rPr>
              <w:t>0</w:t>
            </w:r>
          </w:p>
        </w:tc>
        <w:tc>
          <w:tcPr>
            <w:tcW w:w="0" w:type="auto"/>
            <w:tcBorders>
              <w:top w:val="single"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w:t>
            </w:r>
          </w:p>
        </w:tc>
      </w:tr>
      <w:tr w:rsidR="000E7F2A" w:rsidRPr="00853AC5" w:rsidTr="000E7F2A">
        <w:tc>
          <w:tcPr>
            <w:tcW w:w="0" w:type="auto"/>
            <w:vMerge/>
          </w:tcPr>
          <w:p w:rsidR="000E7F2A" w:rsidRDefault="000E7F2A" w:rsidP="004E5A80">
            <w:pPr>
              <w:jc w:val="center"/>
              <w:rPr>
                <w:rFonts w:ascii="Times New Roman" w:eastAsia="Times New Roman" w:hAnsi="Times New Roman" w:cs="Times New Roman"/>
                <w:lang w:eastAsia="en-GB"/>
              </w:rPr>
            </w:pPr>
          </w:p>
        </w:tc>
        <w:tc>
          <w:tcPr>
            <w:tcW w:w="0" w:type="auto"/>
            <w:tcBorders>
              <w:top w:val="nil"/>
              <w:bottom w:val="dashSmallGap" w:sz="4" w:space="0" w:color="auto"/>
            </w:tcBorders>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Vegetation indices</w:t>
            </w:r>
          </w:p>
        </w:tc>
        <w:tc>
          <w:tcPr>
            <w:tcW w:w="0" w:type="auto"/>
            <w:tcBorders>
              <w:top w:val="nil"/>
              <w:bottom w:val="dashSmallGap" w:sz="4" w:space="0" w:color="auto"/>
            </w:tcBorders>
          </w:tcPr>
          <w:p w:rsidR="000E7F2A" w:rsidRPr="000E7F2A" w:rsidRDefault="000E7F2A" w:rsidP="000E7F2A">
            <w:pPr>
              <w:jc w:val="center"/>
              <w:rPr>
                <w:rFonts w:ascii="Times New Roman" w:eastAsia="Times New Roman" w:hAnsi="Times New Roman" w:cs="Times New Roman"/>
                <w:lang w:eastAsia="en-GB"/>
              </w:rPr>
            </w:pPr>
            <w:r>
              <w:rPr>
                <w:rFonts w:ascii="Times New Roman" w:eastAsia="Times New Roman" w:hAnsi="Times New Roman" w:cs="Times New Roman"/>
                <w:lang w:eastAsia="en-GB"/>
              </w:rPr>
              <w:t>-0.39</w:t>
            </w:r>
          </w:p>
        </w:tc>
        <w:tc>
          <w:tcPr>
            <w:tcW w:w="0" w:type="auto"/>
            <w:tcBorders>
              <w:top w:val="nil"/>
              <w:bottom w:val="dashSmallGap" w:sz="4" w:space="0" w:color="auto"/>
            </w:tcBorders>
          </w:tcPr>
          <w:p w:rsidR="000E7F2A" w:rsidRPr="00853AC5" w:rsidRDefault="000E7F2A" w:rsidP="000E7F2A">
            <w:pPr>
              <w:jc w:val="center"/>
              <w:rPr>
                <w:rFonts w:ascii="Times New Roman" w:eastAsia="Times New Roman" w:hAnsi="Times New Roman" w:cs="Times New Roman"/>
                <w:lang w:eastAsia="en-GB"/>
              </w:rPr>
            </w:pPr>
            <w:r>
              <w:rPr>
                <w:rFonts w:ascii="Times New Roman" w:eastAsia="Times New Roman" w:hAnsi="Times New Roman" w:cs="Times New Roman"/>
                <w:lang w:eastAsia="en-GB"/>
              </w:rPr>
              <w:t>0.07</w:t>
            </w:r>
          </w:p>
        </w:tc>
        <w:tc>
          <w:tcPr>
            <w:tcW w:w="0" w:type="auto"/>
            <w:tcBorders>
              <w:top w:val="nil"/>
              <w:bottom w:val="dashSmallGap" w:sz="4" w:space="0" w:color="auto"/>
            </w:tcBorders>
          </w:tcPr>
          <w:p w:rsidR="000E7F2A" w:rsidRPr="00853AC5" w:rsidRDefault="000E7F2A" w:rsidP="000E7F2A">
            <w:pPr>
              <w:jc w:val="center"/>
              <w:rPr>
                <w:rFonts w:ascii="Times New Roman" w:eastAsia="Times New Roman" w:hAnsi="Times New Roman" w:cs="Times New Roman"/>
                <w:lang w:eastAsia="en-GB"/>
              </w:rPr>
            </w:pPr>
            <w:r>
              <w:rPr>
                <w:rFonts w:ascii="Times New Roman" w:eastAsia="Times New Roman" w:hAnsi="Times New Roman" w:cs="Times New Roman"/>
                <w:lang w:eastAsia="en-GB"/>
              </w:rPr>
              <w:t>74.20</w:t>
            </w:r>
          </w:p>
        </w:tc>
        <w:tc>
          <w:tcPr>
            <w:tcW w:w="0" w:type="auto"/>
            <w:tcBorders>
              <w:top w:val="nil"/>
              <w:bottom w:val="dashSmallGap" w:sz="4" w:space="0" w:color="auto"/>
            </w:tcBorders>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0.00</w:t>
            </w:r>
            <w:r>
              <w:rPr>
                <w:rFonts w:ascii="Times New Roman" w:eastAsia="Times New Roman" w:hAnsi="Times New Roman" w:cs="Times New Roman"/>
                <w:lang w:eastAsia="en-GB"/>
              </w:rPr>
              <w:t>0</w:t>
            </w:r>
          </w:p>
        </w:tc>
        <w:tc>
          <w:tcPr>
            <w:tcW w:w="0" w:type="auto"/>
            <w:tcBorders>
              <w:top w:val="nil"/>
              <w:bottom w:val="dashSmallGap" w:sz="4" w:space="0" w:color="auto"/>
            </w:tcBorders>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w:t>
            </w:r>
          </w:p>
        </w:tc>
      </w:tr>
      <w:tr w:rsidR="000E7F2A" w:rsidRPr="00853AC5" w:rsidTr="004E5A80">
        <w:tc>
          <w:tcPr>
            <w:tcW w:w="0" w:type="auto"/>
            <w:vMerge w:val="restart"/>
            <w:vAlign w:val="center"/>
            <w:hideMark/>
          </w:tcPr>
          <w:p w:rsidR="000E7F2A" w:rsidRPr="00853AC5" w:rsidRDefault="000E7F2A" w:rsidP="000E7F2A">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Vegetation indices </w:t>
            </w:r>
          </w:p>
        </w:tc>
        <w:tc>
          <w:tcPr>
            <w:tcW w:w="0" w:type="auto"/>
            <w:tcBorders>
              <w:top w:val="dashSmallGap" w:sz="4" w:space="0" w:color="auto"/>
              <w:bottom w:val="nil"/>
            </w:tcBorders>
            <w:hideMark/>
          </w:tcPr>
          <w:p w:rsidR="000E7F2A" w:rsidRPr="00853AC5" w:rsidRDefault="000E7F2A" w:rsidP="000E7F2A">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Climate </w:t>
            </w:r>
          </w:p>
        </w:tc>
        <w:tc>
          <w:tcPr>
            <w:tcW w:w="0" w:type="auto"/>
            <w:tcBorders>
              <w:top w:val="dashSmallGap" w:sz="4" w:space="0" w:color="auto"/>
              <w:bottom w:val="nil"/>
            </w:tcBorders>
            <w:hideMark/>
          </w:tcPr>
          <w:p w:rsidR="000E7F2A" w:rsidRPr="00095FFC" w:rsidRDefault="000E7F2A" w:rsidP="000E7F2A">
            <w:r w:rsidRPr="00095FFC">
              <w:t>−0.31</w:t>
            </w:r>
          </w:p>
        </w:tc>
        <w:tc>
          <w:tcPr>
            <w:tcW w:w="0" w:type="auto"/>
            <w:tcBorders>
              <w:top w:val="dashSmallGap" w:sz="4" w:space="0" w:color="auto"/>
              <w:bottom w:val="nil"/>
            </w:tcBorders>
            <w:hideMark/>
          </w:tcPr>
          <w:p w:rsidR="000E7F2A" w:rsidRPr="00095FFC" w:rsidRDefault="000E7F2A" w:rsidP="000E7F2A">
            <w:r w:rsidRPr="00095FFC">
              <w:t>0.12</w:t>
            </w:r>
          </w:p>
        </w:tc>
        <w:tc>
          <w:tcPr>
            <w:tcW w:w="0" w:type="auto"/>
            <w:tcBorders>
              <w:top w:val="dashSmallGap" w:sz="4" w:space="0" w:color="auto"/>
              <w:bottom w:val="nil"/>
            </w:tcBorders>
            <w:hideMark/>
          </w:tcPr>
          <w:p w:rsidR="000E7F2A" w:rsidRPr="00095FFC" w:rsidRDefault="000E7F2A" w:rsidP="000E7F2A">
            <w:r w:rsidRPr="00095FFC">
              <w:t>127.31</w:t>
            </w:r>
          </w:p>
        </w:tc>
        <w:tc>
          <w:tcPr>
            <w:tcW w:w="0" w:type="auto"/>
            <w:tcBorders>
              <w:top w:val="dashSmallGap" w:sz="4" w:space="0" w:color="auto"/>
              <w:bottom w:val="nil"/>
            </w:tcBorders>
            <w:hideMark/>
          </w:tcPr>
          <w:p w:rsidR="000E7F2A" w:rsidRPr="00095FFC" w:rsidRDefault="000E7F2A" w:rsidP="000E7F2A">
            <w:r w:rsidRPr="00853AC5">
              <w:rPr>
                <w:rFonts w:ascii="Times New Roman" w:eastAsia="Times New Roman" w:hAnsi="Times New Roman" w:cs="Times New Roman"/>
                <w:lang w:eastAsia="en-GB"/>
              </w:rPr>
              <w:t>0.00</w:t>
            </w:r>
            <w:r>
              <w:rPr>
                <w:rFonts w:ascii="Times New Roman" w:eastAsia="Times New Roman" w:hAnsi="Times New Roman" w:cs="Times New Roman"/>
                <w:lang w:eastAsia="en-GB"/>
              </w:rPr>
              <w:t>0</w:t>
            </w:r>
          </w:p>
        </w:tc>
        <w:tc>
          <w:tcPr>
            <w:tcW w:w="0" w:type="auto"/>
            <w:tcBorders>
              <w:top w:val="dashSmallGap" w:sz="4" w:space="0" w:color="auto"/>
              <w:bottom w:val="nil"/>
            </w:tcBorders>
            <w:hideMark/>
          </w:tcPr>
          <w:p w:rsidR="000E7F2A" w:rsidRDefault="000E7F2A" w:rsidP="000E7F2A">
            <w:r w:rsidRPr="00095FFC">
              <w:t>***</w:t>
            </w:r>
          </w:p>
        </w:tc>
      </w:tr>
      <w:tr w:rsidR="000E7F2A" w:rsidRPr="00853AC5" w:rsidTr="004E5A80">
        <w:tc>
          <w:tcPr>
            <w:tcW w:w="0" w:type="auto"/>
            <w:vMerge/>
            <w:hideMark/>
          </w:tcPr>
          <w:p w:rsidR="000E7F2A" w:rsidRPr="00853AC5" w:rsidRDefault="000E7F2A" w:rsidP="004E5A80">
            <w:pPr>
              <w:jc w:val="center"/>
              <w:rPr>
                <w:rFonts w:ascii="Times New Roman" w:eastAsia="Times New Roman" w:hAnsi="Times New Roman" w:cs="Times New Roman"/>
                <w:lang w:eastAsia="en-GB"/>
              </w:rPr>
            </w:pP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Pr>
                <w:rFonts w:ascii="Times New Roman" w:eastAsia="Times New Roman" w:hAnsi="Times New Roman" w:cs="Times New Roman"/>
                <w:lang w:eastAsia="en-GB"/>
              </w:rPr>
              <w:t>Biodiversity</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−0.41</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0.08</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126.86</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0.00</w:t>
            </w:r>
            <w:r>
              <w:rPr>
                <w:rFonts w:ascii="Times New Roman" w:eastAsia="Times New Roman" w:hAnsi="Times New Roman" w:cs="Times New Roman"/>
                <w:lang w:eastAsia="en-GB"/>
              </w:rPr>
              <w:t>0</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w:t>
            </w:r>
          </w:p>
        </w:tc>
      </w:tr>
      <w:tr w:rsidR="000E7F2A" w:rsidRPr="00853AC5" w:rsidTr="004E5A80">
        <w:tc>
          <w:tcPr>
            <w:tcW w:w="0" w:type="auto"/>
            <w:vMerge w:val="restart"/>
            <w:vAlign w:val="center"/>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Canopy height </w:t>
            </w:r>
          </w:p>
        </w:tc>
        <w:tc>
          <w:tcPr>
            <w:tcW w:w="0" w:type="auto"/>
            <w:tcBorders>
              <w:top w:val="dashSmallGap"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Climate </w:t>
            </w:r>
          </w:p>
        </w:tc>
        <w:tc>
          <w:tcPr>
            <w:tcW w:w="0" w:type="auto"/>
            <w:tcBorders>
              <w:top w:val="dashSmallGap"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0.05</w:t>
            </w:r>
          </w:p>
        </w:tc>
        <w:tc>
          <w:tcPr>
            <w:tcW w:w="0" w:type="auto"/>
            <w:tcBorders>
              <w:top w:val="dashSmallGap"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0.14</w:t>
            </w:r>
          </w:p>
        </w:tc>
        <w:tc>
          <w:tcPr>
            <w:tcW w:w="0" w:type="auto"/>
            <w:tcBorders>
              <w:top w:val="dashSmallGap"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128.35</w:t>
            </w:r>
          </w:p>
        </w:tc>
        <w:tc>
          <w:tcPr>
            <w:tcW w:w="0" w:type="auto"/>
            <w:tcBorders>
              <w:top w:val="dashSmallGap"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0.575</w:t>
            </w:r>
          </w:p>
        </w:tc>
        <w:tc>
          <w:tcPr>
            <w:tcW w:w="0" w:type="auto"/>
            <w:tcBorders>
              <w:top w:val="dashSmallGap" w:sz="4" w:space="0" w:color="auto"/>
              <w:bottom w:val="nil"/>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ns</w:t>
            </w:r>
          </w:p>
        </w:tc>
      </w:tr>
      <w:tr w:rsidR="000E7F2A" w:rsidRPr="00853AC5" w:rsidTr="004E5A80">
        <w:tc>
          <w:tcPr>
            <w:tcW w:w="0" w:type="auto"/>
            <w:vMerge/>
            <w:hideMark/>
          </w:tcPr>
          <w:p w:rsidR="000E7F2A" w:rsidRPr="00853AC5" w:rsidRDefault="000E7F2A" w:rsidP="004E5A80">
            <w:pPr>
              <w:jc w:val="center"/>
              <w:rPr>
                <w:rFonts w:ascii="Times New Roman" w:eastAsia="Times New Roman" w:hAnsi="Times New Roman" w:cs="Times New Roman"/>
                <w:lang w:eastAsia="en-GB"/>
              </w:rPr>
            </w:pP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Pr>
                <w:rFonts w:ascii="Times New Roman" w:eastAsia="Times New Roman" w:hAnsi="Times New Roman" w:cs="Times New Roman"/>
                <w:lang w:eastAsia="en-GB"/>
              </w:rPr>
              <w:t>Biodiversity</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0.37</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0.09</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128.34</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0.00</w:t>
            </w:r>
            <w:r>
              <w:rPr>
                <w:rFonts w:ascii="Times New Roman" w:eastAsia="Times New Roman" w:hAnsi="Times New Roman" w:cs="Times New Roman"/>
                <w:lang w:eastAsia="en-GB"/>
              </w:rPr>
              <w:t>0</w:t>
            </w:r>
          </w:p>
        </w:tc>
        <w:tc>
          <w:tcPr>
            <w:tcW w:w="0" w:type="auto"/>
            <w:tcBorders>
              <w:top w:val="nil"/>
              <w:bottom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w:t>
            </w:r>
          </w:p>
        </w:tc>
      </w:tr>
      <w:tr w:rsidR="000E7F2A" w:rsidRPr="00853AC5" w:rsidTr="004E5A80">
        <w:tc>
          <w:tcPr>
            <w:tcW w:w="0" w:type="auto"/>
            <w:vMerge w:val="restart"/>
            <w:vAlign w:val="center"/>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AMF abundance </w:t>
            </w:r>
          </w:p>
        </w:tc>
        <w:tc>
          <w:tcPr>
            <w:tcW w:w="0" w:type="auto"/>
            <w:tcBorders>
              <w:top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Climate </w:t>
            </w:r>
          </w:p>
        </w:tc>
        <w:tc>
          <w:tcPr>
            <w:tcW w:w="0" w:type="auto"/>
            <w:tcBorders>
              <w:top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−0.71</w:t>
            </w:r>
          </w:p>
        </w:tc>
        <w:tc>
          <w:tcPr>
            <w:tcW w:w="0" w:type="auto"/>
            <w:tcBorders>
              <w:top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0.09</w:t>
            </w:r>
          </w:p>
        </w:tc>
        <w:tc>
          <w:tcPr>
            <w:tcW w:w="0" w:type="auto"/>
            <w:tcBorders>
              <w:top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124.50</w:t>
            </w:r>
          </w:p>
        </w:tc>
        <w:tc>
          <w:tcPr>
            <w:tcW w:w="0" w:type="auto"/>
            <w:tcBorders>
              <w:top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0.00</w:t>
            </w:r>
            <w:r>
              <w:rPr>
                <w:rFonts w:ascii="Times New Roman" w:eastAsia="Times New Roman" w:hAnsi="Times New Roman" w:cs="Times New Roman"/>
                <w:lang w:eastAsia="en-GB"/>
              </w:rPr>
              <w:t>0</w:t>
            </w:r>
          </w:p>
        </w:tc>
        <w:tc>
          <w:tcPr>
            <w:tcW w:w="0" w:type="auto"/>
            <w:tcBorders>
              <w:top w:val="dashSmallGap" w:sz="4" w:space="0" w:color="auto"/>
            </w:tcBorders>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w:t>
            </w:r>
          </w:p>
        </w:tc>
      </w:tr>
      <w:tr w:rsidR="000E7F2A" w:rsidRPr="00853AC5" w:rsidTr="004E5A80">
        <w:tc>
          <w:tcPr>
            <w:tcW w:w="0" w:type="auto"/>
            <w:vMerge/>
            <w:hideMark/>
          </w:tcPr>
          <w:p w:rsidR="000E7F2A" w:rsidRPr="00853AC5" w:rsidRDefault="000E7F2A" w:rsidP="004E5A80">
            <w:pPr>
              <w:jc w:val="center"/>
              <w:rPr>
                <w:rFonts w:ascii="Times New Roman" w:eastAsia="Times New Roman" w:hAnsi="Times New Roman" w:cs="Times New Roman"/>
                <w:lang w:eastAsia="en-GB"/>
              </w:rPr>
            </w:pP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Pr>
                <w:rFonts w:ascii="Times New Roman" w:eastAsia="Times New Roman" w:hAnsi="Times New Roman" w:cs="Times New Roman"/>
                <w:lang w:eastAsia="en-GB"/>
              </w:rPr>
              <w:t>Biodiversity</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0.05</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0.06</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123.10</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0.464</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ns</w:t>
            </w:r>
          </w:p>
        </w:tc>
      </w:tr>
      <w:tr w:rsidR="000E7F2A" w:rsidRPr="00853AC5" w:rsidTr="004E5A80">
        <w:tc>
          <w:tcPr>
            <w:tcW w:w="0" w:type="auto"/>
            <w:vMerge/>
            <w:hideMark/>
          </w:tcPr>
          <w:p w:rsidR="000E7F2A" w:rsidRPr="00853AC5" w:rsidRDefault="000E7F2A" w:rsidP="004E5A80">
            <w:pPr>
              <w:jc w:val="center"/>
              <w:rPr>
                <w:rFonts w:ascii="Times New Roman" w:eastAsia="Times New Roman" w:hAnsi="Times New Roman" w:cs="Times New Roman"/>
                <w:lang w:eastAsia="en-GB"/>
              </w:rPr>
            </w:pP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Vegetation indices </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0.21</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0.06</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126.41</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0.001</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w:t>
            </w:r>
          </w:p>
        </w:tc>
      </w:tr>
      <w:tr w:rsidR="000E7F2A" w:rsidRPr="00853AC5" w:rsidTr="004E5A80">
        <w:tc>
          <w:tcPr>
            <w:tcW w:w="0" w:type="auto"/>
            <w:vMerge/>
            <w:hideMark/>
          </w:tcPr>
          <w:p w:rsidR="000E7F2A" w:rsidRPr="00853AC5" w:rsidRDefault="000E7F2A" w:rsidP="004E5A80">
            <w:pPr>
              <w:jc w:val="center"/>
              <w:rPr>
                <w:rFonts w:ascii="Times New Roman" w:eastAsia="Times New Roman" w:hAnsi="Times New Roman" w:cs="Times New Roman"/>
                <w:lang w:eastAsia="en-GB"/>
              </w:rPr>
            </w:pP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 xml:space="preserve">Canopy height </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−0.07</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0.06</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125.22</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0.244</w:t>
            </w:r>
          </w:p>
        </w:tc>
        <w:tc>
          <w:tcPr>
            <w:tcW w:w="0" w:type="auto"/>
            <w:hideMark/>
          </w:tcPr>
          <w:p w:rsidR="000E7F2A" w:rsidRPr="00853AC5" w:rsidRDefault="000E7F2A" w:rsidP="004E5A80">
            <w:pPr>
              <w:jc w:val="center"/>
              <w:rPr>
                <w:rFonts w:ascii="Times New Roman" w:eastAsia="Times New Roman" w:hAnsi="Times New Roman" w:cs="Times New Roman"/>
                <w:lang w:eastAsia="en-GB"/>
              </w:rPr>
            </w:pPr>
            <w:r w:rsidRPr="00853AC5">
              <w:rPr>
                <w:rFonts w:ascii="Times New Roman" w:eastAsia="Times New Roman" w:hAnsi="Times New Roman" w:cs="Times New Roman"/>
                <w:lang w:eastAsia="en-GB"/>
              </w:rPr>
              <w:t>ns</w:t>
            </w:r>
          </w:p>
        </w:tc>
      </w:tr>
    </w:tbl>
    <w:p w:rsidR="00272C30" w:rsidRPr="00272C30" w:rsidRDefault="00272C30" w:rsidP="00545891">
      <w:pPr>
        <w:spacing w:line="360" w:lineRule="auto"/>
        <w:jc w:val="both"/>
        <w:rPr>
          <w:rFonts w:asciiTheme="majorBidi" w:hAnsiTheme="majorBidi" w:cstheme="majorBidi"/>
          <w:color w:val="000000" w:themeColor="text1"/>
        </w:rPr>
      </w:pPr>
      <w:r w:rsidRPr="00272C30">
        <w:rPr>
          <w:rFonts w:asciiTheme="majorBidi" w:hAnsiTheme="majorBidi" w:cstheme="majorBidi"/>
          <w:color w:val="000000" w:themeColor="text1"/>
        </w:rPr>
        <w:t xml:space="preserve">Table S4. Sensitivity analysis of direct pathways to </w:t>
      </w:r>
      <w:proofErr w:type="spellStart"/>
      <w:r w:rsidRPr="00272C30">
        <w:rPr>
          <w:rFonts w:asciiTheme="majorBidi" w:hAnsiTheme="majorBidi" w:cstheme="majorBidi"/>
          <w:color w:val="000000" w:themeColor="text1"/>
        </w:rPr>
        <w:t>arbuscular</w:t>
      </w:r>
      <w:proofErr w:type="spellEnd"/>
      <w:r w:rsidRPr="00272C30">
        <w:rPr>
          <w:rFonts w:asciiTheme="majorBidi" w:hAnsiTheme="majorBidi" w:cstheme="majorBidi"/>
          <w:color w:val="000000" w:themeColor="text1"/>
        </w:rPr>
        <w:t xml:space="preserve"> </w:t>
      </w:r>
      <w:proofErr w:type="spellStart"/>
      <w:r w:rsidRPr="00272C30">
        <w:rPr>
          <w:rFonts w:asciiTheme="majorBidi" w:hAnsiTheme="majorBidi" w:cstheme="majorBidi"/>
          <w:color w:val="000000" w:themeColor="text1"/>
        </w:rPr>
        <w:t>mycorrhizal</w:t>
      </w:r>
      <w:proofErr w:type="spellEnd"/>
      <w:r w:rsidRPr="00272C30">
        <w:rPr>
          <w:rFonts w:asciiTheme="majorBidi" w:hAnsiTheme="majorBidi" w:cstheme="majorBidi"/>
          <w:color w:val="000000" w:themeColor="text1"/>
        </w:rPr>
        <w:t xml:space="preserve"> fungal abundance using an alternative non-PCA piecewise structural equation model. PCA-derived predictors </w:t>
      </w:r>
      <w:proofErr w:type="gramStart"/>
      <w:r w:rsidRPr="00272C30">
        <w:rPr>
          <w:rFonts w:asciiTheme="majorBidi" w:hAnsiTheme="majorBidi" w:cstheme="majorBidi"/>
          <w:color w:val="000000" w:themeColor="text1"/>
        </w:rPr>
        <w:t>were replaced</w:t>
      </w:r>
      <w:proofErr w:type="gramEnd"/>
      <w:r w:rsidRPr="00272C30">
        <w:rPr>
          <w:rFonts w:asciiTheme="majorBidi" w:hAnsiTheme="majorBidi" w:cstheme="majorBidi"/>
          <w:color w:val="000000" w:themeColor="text1"/>
        </w:rPr>
        <w:t xml:space="preserve"> with composite variables calculated as the mean of the standardized observed variables within each predictor group. Reported values are standardized path coefficients (β).</w:t>
      </w:r>
      <w:r w:rsidR="00F30595">
        <w:rPr>
          <w:rFonts w:asciiTheme="majorBidi" w:hAnsiTheme="majorBidi" w:cstheme="majorBidi"/>
          <w:color w:val="000000" w:themeColor="text1"/>
        </w:rPr>
        <w:t xml:space="preserve"> </w:t>
      </w:r>
      <w:r w:rsidR="00F30595" w:rsidRPr="00F30595">
        <w:rPr>
          <w:rFonts w:asciiTheme="majorBidi" w:hAnsiTheme="majorBidi" w:cstheme="majorBidi"/>
          <w:color w:val="000000" w:themeColor="text1"/>
        </w:rPr>
        <w:t>The direction of the linear climate coefficient differs from the original PCA-based model because PCA-axis orientation is arbitrary; the ecological inference and quadratic climate response remained unchanged.</w:t>
      </w:r>
    </w:p>
    <w:tbl>
      <w:tblPr>
        <w:tblW w:w="9276"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2041"/>
        <w:gridCol w:w="3952"/>
        <w:gridCol w:w="1794"/>
        <w:gridCol w:w="946"/>
        <w:gridCol w:w="543"/>
      </w:tblGrid>
      <w:tr w:rsidR="00272C30" w:rsidRPr="00272C30" w:rsidTr="004E5A80">
        <w:trPr>
          <w:tblHeader/>
        </w:trPr>
        <w:tc>
          <w:tcPr>
            <w:tcW w:w="0" w:type="auto"/>
            <w:tcBorders>
              <w:top w:val="single" w:sz="4" w:space="0" w:color="auto"/>
              <w:bottom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b/>
                <w:bCs/>
                <w:color w:val="000000" w:themeColor="text1"/>
              </w:rPr>
            </w:pPr>
            <w:r w:rsidRPr="00272C30">
              <w:rPr>
                <w:rFonts w:asciiTheme="majorBidi" w:hAnsiTheme="majorBidi" w:cstheme="majorBidi"/>
                <w:b/>
                <w:bCs/>
                <w:color w:val="000000" w:themeColor="text1"/>
              </w:rPr>
              <w:t>Predictor</w:t>
            </w:r>
          </w:p>
        </w:tc>
        <w:tc>
          <w:tcPr>
            <w:tcW w:w="0" w:type="auto"/>
            <w:tcBorders>
              <w:top w:val="single" w:sz="4" w:space="0" w:color="auto"/>
              <w:bottom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b/>
                <w:bCs/>
                <w:color w:val="000000" w:themeColor="text1"/>
              </w:rPr>
            </w:pPr>
            <w:r w:rsidRPr="00272C30">
              <w:rPr>
                <w:rFonts w:asciiTheme="majorBidi" w:hAnsiTheme="majorBidi" w:cstheme="majorBidi"/>
                <w:b/>
                <w:bCs/>
                <w:color w:val="000000" w:themeColor="text1"/>
              </w:rPr>
              <w:t>Direct pathway</w:t>
            </w:r>
          </w:p>
        </w:tc>
        <w:tc>
          <w:tcPr>
            <w:tcW w:w="0" w:type="auto"/>
            <w:tcBorders>
              <w:top w:val="single" w:sz="4" w:space="0" w:color="auto"/>
              <w:bottom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b/>
                <w:bCs/>
                <w:color w:val="000000" w:themeColor="text1"/>
              </w:rPr>
            </w:pPr>
            <w:r w:rsidRPr="00272C30">
              <w:rPr>
                <w:rFonts w:asciiTheme="majorBidi" w:hAnsiTheme="majorBidi" w:cstheme="majorBidi"/>
                <w:b/>
                <w:bCs/>
                <w:color w:val="000000" w:themeColor="text1"/>
              </w:rPr>
              <w:t>Standardized β</w:t>
            </w:r>
          </w:p>
        </w:tc>
        <w:tc>
          <w:tcPr>
            <w:tcW w:w="0" w:type="auto"/>
            <w:tcBorders>
              <w:top w:val="single" w:sz="4" w:space="0" w:color="auto"/>
              <w:bottom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b/>
                <w:bCs/>
                <w:color w:val="000000" w:themeColor="text1"/>
              </w:rPr>
            </w:pPr>
            <w:r w:rsidRPr="00272C30">
              <w:rPr>
                <w:rFonts w:asciiTheme="majorBidi" w:hAnsiTheme="majorBidi" w:cstheme="majorBidi"/>
                <w:b/>
                <w:bCs/>
                <w:color w:val="000000" w:themeColor="text1"/>
              </w:rPr>
              <w:t>p-value</w:t>
            </w:r>
          </w:p>
        </w:tc>
        <w:tc>
          <w:tcPr>
            <w:tcW w:w="0" w:type="auto"/>
            <w:tcBorders>
              <w:top w:val="single" w:sz="4" w:space="0" w:color="auto"/>
              <w:bottom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b/>
                <w:bCs/>
                <w:color w:val="000000" w:themeColor="text1"/>
              </w:rPr>
            </w:pPr>
            <w:r w:rsidRPr="00272C30">
              <w:rPr>
                <w:rFonts w:asciiTheme="majorBidi" w:hAnsiTheme="majorBidi" w:cstheme="majorBidi"/>
                <w:b/>
                <w:bCs/>
                <w:color w:val="000000" w:themeColor="text1"/>
              </w:rPr>
              <w:t>Sig.</w:t>
            </w:r>
          </w:p>
        </w:tc>
      </w:tr>
      <w:tr w:rsidR="00272C30" w:rsidRPr="00272C30" w:rsidTr="004E5A80">
        <w:tc>
          <w:tcPr>
            <w:tcW w:w="0" w:type="auto"/>
            <w:tcBorders>
              <w:top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Climate</w:t>
            </w:r>
          </w:p>
        </w:tc>
        <w:tc>
          <w:tcPr>
            <w:tcW w:w="0" w:type="auto"/>
            <w:tcBorders>
              <w:top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Climate composite → AMF</w:t>
            </w:r>
          </w:p>
        </w:tc>
        <w:tc>
          <w:tcPr>
            <w:tcW w:w="0" w:type="auto"/>
            <w:tcBorders>
              <w:top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0.508</w:t>
            </w:r>
          </w:p>
        </w:tc>
        <w:tc>
          <w:tcPr>
            <w:tcW w:w="0" w:type="auto"/>
            <w:tcBorders>
              <w:top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&lt; 0.001</w:t>
            </w:r>
          </w:p>
        </w:tc>
        <w:tc>
          <w:tcPr>
            <w:tcW w:w="0" w:type="auto"/>
            <w:tcBorders>
              <w:top w:val="single" w:sz="4" w:space="0" w:color="auto"/>
            </w:tcBorders>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w:t>
            </w:r>
          </w:p>
        </w:tc>
      </w:tr>
      <w:tr w:rsidR="00272C30" w:rsidRPr="00272C30" w:rsidTr="004E5A80">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Climate</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Climate composite² → AMF</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0.243</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0.016</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w:t>
            </w:r>
          </w:p>
        </w:tc>
      </w:tr>
      <w:tr w:rsidR="00272C30" w:rsidRPr="00272C30" w:rsidTr="004E5A80">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Biodiversity</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Biodiversity composite → AMF</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−0.048</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0.439</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ns</w:t>
            </w:r>
          </w:p>
        </w:tc>
      </w:tr>
      <w:tr w:rsidR="00272C30" w:rsidRPr="00272C30" w:rsidTr="004E5A80">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Vegetation indices</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Vegetation-index composite → AMF</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0.252</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&lt; 0.001</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w:t>
            </w:r>
          </w:p>
        </w:tc>
      </w:tr>
      <w:tr w:rsidR="00272C30" w:rsidRPr="00272C30" w:rsidTr="004E5A80">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Canopy height</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Canopy-height composite → AMF</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−0.008</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0.893</w:t>
            </w:r>
          </w:p>
        </w:tc>
        <w:tc>
          <w:tcPr>
            <w:tcW w:w="0" w:type="auto"/>
            <w:tcMar>
              <w:top w:w="60" w:type="dxa"/>
              <w:left w:w="60" w:type="dxa"/>
              <w:bottom w:w="60" w:type="dxa"/>
              <w:right w:w="60" w:type="dxa"/>
            </w:tcMar>
            <w:hideMark/>
          </w:tcPr>
          <w:p w:rsidR="00272C30" w:rsidRPr="00272C30" w:rsidRDefault="00272C30" w:rsidP="00272C30">
            <w:pPr>
              <w:jc w:val="center"/>
              <w:rPr>
                <w:rFonts w:asciiTheme="majorBidi" w:hAnsiTheme="majorBidi" w:cstheme="majorBidi"/>
                <w:color w:val="000000" w:themeColor="text1"/>
              </w:rPr>
            </w:pPr>
            <w:r w:rsidRPr="00272C30">
              <w:rPr>
                <w:rFonts w:asciiTheme="majorBidi" w:hAnsiTheme="majorBidi" w:cstheme="majorBidi"/>
                <w:color w:val="000000" w:themeColor="text1"/>
              </w:rPr>
              <w:t>ns</w:t>
            </w:r>
          </w:p>
        </w:tc>
      </w:tr>
    </w:tbl>
    <w:p w:rsidR="000E7F2A" w:rsidRDefault="000E7F2A" w:rsidP="008023C0">
      <w:pPr>
        <w:rPr>
          <w:rFonts w:asciiTheme="majorBidi" w:hAnsiTheme="majorBidi" w:cstheme="majorBidi"/>
          <w:b/>
          <w:bCs/>
          <w:color w:val="000000" w:themeColor="text1"/>
          <w:sz w:val="24"/>
          <w:szCs w:val="24"/>
        </w:rPr>
      </w:pPr>
    </w:p>
    <w:p w:rsidR="00E209F3" w:rsidRDefault="00E209F3" w:rsidP="008023C0">
      <w:pPr>
        <w:rPr>
          <w:rFonts w:asciiTheme="majorBidi" w:hAnsiTheme="majorBidi" w:cstheme="majorBidi"/>
          <w:b/>
          <w:bCs/>
          <w:color w:val="000000" w:themeColor="text1"/>
          <w:sz w:val="24"/>
          <w:szCs w:val="24"/>
        </w:rPr>
      </w:pPr>
      <w:r w:rsidRPr="00F030B6">
        <w:rPr>
          <w:noProof/>
          <w:sz w:val="24"/>
          <w:szCs w:val="24"/>
          <w:lang w:eastAsia="en-GB"/>
        </w:rPr>
        <w:drawing>
          <wp:inline distT="0" distB="0" distL="0" distR="0" wp14:anchorId="16724812" wp14:editId="39439775">
            <wp:extent cx="5731510" cy="4312285"/>
            <wp:effectExtent l="0" t="0" r="2540" b="0"/>
            <wp:docPr id="4" name="Picture 4" descr="A:\staff\Yasamin_A\03_Soil diversity\04_Result\08_ML_optimal_feature_count_nested_CV\Figure_ML_optimal_feature_count_nested_C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taff\Yasamin_A\03_Soil diversity\04_Result\08_ML_optimal_feature_count_nested_CV\Figure_ML_optimal_feature_count_nested_CV.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312285"/>
                    </a:xfrm>
                    <a:prstGeom prst="rect">
                      <a:avLst/>
                    </a:prstGeom>
                    <a:noFill/>
                    <a:ln>
                      <a:noFill/>
                    </a:ln>
                  </pic:spPr>
                </pic:pic>
              </a:graphicData>
            </a:graphic>
          </wp:inline>
        </w:drawing>
      </w:r>
    </w:p>
    <w:p w:rsidR="00E209F3" w:rsidRPr="00E209F3" w:rsidRDefault="00E209F3" w:rsidP="00545891">
      <w:pPr>
        <w:spacing w:line="360" w:lineRule="auto"/>
        <w:jc w:val="both"/>
        <w:rPr>
          <w:rFonts w:asciiTheme="majorBidi" w:hAnsiTheme="majorBidi" w:cstheme="majorBidi"/>
          <w:color w:val="000000" w:themeColor="text1"/>
        </w:rPr>
      </w:pPr>
      <w:r w:rsidRPr="00E209F3">
        <w:rPr>
          <w:rFonts w:asciiTheme="majorBidi" w:hAnsiTheme="majorBidi" w:cstheme="majorBidi"/>
          <w:color w:val="000000" w:themeColor="text1"/>
        </w:rPr>
        <w:t xml:space="preserve">Figure S1. Cross-validation assessment of the optimal number of predictors retained in LASSO-based models for each group of UAV-derived metrics. Panels show the root mean squared error (RMSE) obtained when different maximum numbers of LASSO-ranked predictors </w:t>
      </w:r>
      <w:proofErr w:type="gramStart"/>
      <w:r w:rsidRPr="00E209F3">
        <w:rPr>
          <w:rFonts w:asciiTheme="majorBidi" w:hAnsiTheme="majorBidi" w:cstheme="majorBidi"/>
          <w:color w:val="000000" w:themeColor="text1"/>
        </w:rPr>
        <w:t>were retained</w:t>
      </w:r>
      <w:proofErr w:type="gramEnd"/>
      <w:r w:rsidRPr="00E209F3">
        <w:rPr>
          <w:rFonts w:asciiTheme="majorBidi" w:hAnsiTheme="majorBidi" w:cstheme="majorBidi"/>
          <w:color w:val="000000" w:themeColor="text1"/>
        </w:rPr>
        <w:t xml:space="preserve"> for (A) spectral diversity metrics, (B) texture features, (C) vegetation indices and (D) canopy-height metrics. Blue circles and lines represent cross-validated RMSE for each tested number of predictors. Red squares indicate the number of predictors associated with the lowest RMSE, and dashed vertical lines show the median number of predictors selected across folds by nested cross-validation.</w:t>
      </w:r>
    </w:p>
    <w:p w:rsidR="00FF3DBD" w:rsidRDefault="00FF60BC" w:rsidP="008023C0">
      <w:pPr>
        <w:rPr>
          <w:rFonts w:asciiTheme="majorBidi" w:hAnsiTheme="majorBidi" w:cstheme="majorBidi"/>
          <w:b/>
          <w:bCs/>
          <w:color w:val="000000" w:themeColor="text1"/>
          <w:sz w:val="24"/>
          <w:szCs w:val="24"/>
        </w:rPr>
      </w:pPr>
      <w:r w:rsidRPr="00FF60BC">
        <w:rPr>
          <w:rFonts w:asciiTheme="majorBidi" w:hAnsiTheme="majorBidi" w:cstheme="majorBidi"/>
          <w:b/>
          <w:bCs/>
          <w:noProof/>
          <w:color w:val="000000" w:themeColor="text1"/>
          <w:sz w:val="24"/>
          <w:szCs w:val="24"/>
          <w:lang w:eastAsia="en-GB"/>
        </w:rPr>
        <w:drawing>
          <wp:inline distT="0" distB="0" distL="0" distR="0">
            <wp:extent cx="5731510" cy="6868965"/>
            <wp:effectExtent l="0" t="0" r="2540" b="8255"/>
            <wp:docPr id="2" name="Picture 2" descr="A:\staff\Yasamin_A\03_Soil diversity\04_Result\06_model_assumption_diagnostics_python\Figure_S_SEM_residual_diagnostics_pyth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taff\Yasamin_A\03_Soil diversity\04_Result\06_model_assumption_diagnostics_python\Figure_S_SEM_residual_diagnostics_python.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6868965"/>
                    </a:xfrm>
                    <a:prstGeom prst="rect">
                      <a:avLst/>
                    </a:prstGeom>
                    <a:noFill/>
                    <a:ln>
                      <a:noFill/>
                    </a:ln>
                  </pic:spPr>
                </pic:pic>
              </a:graphicData>
            </a:graphic>
          </wp:inline>
        </w:drawing>
      </w:r>
    </w:p>
    <w:p w:rsidR="00FF3DBD" w:rsidRDefault="00396C47" w:rsidP="00545891">
      <w:pPr>
        <w:spacing w:line="360" w:lineRule="auto"/>
        <w:jc w:val="both"/>
        <w:rPr>
          <w:rFonts w:asciiTheme="majorBidi" w:hAnsiTheme="majorBidi" w:cstheme="majorBidi"/>
        </w:rPr>
      </w:pPr>
      <w:r w:rsidRPr="00396C47">
        <w:rPr>
          <w:rFonts w:asciiTheme="majorBidi" w:hAnsiTheme="majorBidi" w:cstheme="majorBidi"/>
        </w:rPr>
        <w:t>Figure S</w:t>
      </w:r>
      <w:r w:rsidR="00E209F3">
        <w:rPr>
          <w:rFonts w:asciiTheme="majorBidi" w:hAnsiTheme="majorBidi" w:cstheme="majorBidi"/>
        </w:rPr>
        <w:t>2</w:t>
      </w:r>
      <w:r w:rsidRPr="00396C47">
        <w:rPr>
          <w:rFonts w:asciiTheme="majorBidi" w:hAnsiTheme="majorBidi" w:cstheme="majorBidi"/>
        </w:rPr>
        <w:t xml:space="preserve">. Residual diagnostics for the linear mixed-effects component models included in the piecewise structural equation model. Residual normality and homoscedasticity </w:t>
      </w:r>
      <w:proofErr w:type="gramStart"/>
      <w:r w:rsidRPr="00396C47">
        <w:rPr>
          <w:rFonts w:asciiTheme="majorBidi" w:hAnsiTheme="majorBidi" w:cstheme="majorBidi"/>
        </w:rPr>
        <w:t>were evaluated</w:t>
      </w:r>
      <w:proofErr w:type="gramEnd"/>
      <w:r w:rsidRPr="00396C47">
        <w:rPr>
          <w:rFonts w:asciiTheme="majorBidi" w:hAnsiTheme="majorBidi" w:cstheme="majorBidi"/>
        </w:rPr>
        <w:t xml:space="preserve"> for the component models representing biodiversity (A-B), vegetation indices (C-D), canopy height (E-F), and log-transformed </w:t>
      </w:r>
      <w:proofErr w:type="spellStart"/>
      <w:r w:rsidRPr="00396C47">
        <w:rPr>
          <w:rFonts w:asciiTheme="majorBidi" w:hAnsiTheme="majorBidi" w:cstheme="majorBidi"/>
        </w:rPr>
        <w:t>arbuscular</w:t>
      </w:r>
      <w:proofErr w:type="spellEnd"/>
      <w:r w:rsidRPr="00396C47">
        <w:rPr>
          <w:rFonts w:asciiTheme="majorBidi" w:hAnsiTheme="majorBidi" w:cstheme="majorBidi"/>
        </w:rPr>
        <w:t xml:space="preserve"> </w:t>
      </w:r>
      <w:proofErr w:type="spellStart"/>
      <w:r w:rsidRPr="00396C47">
        <w:rPr>
          <w:rFonts w:asciiTheme="majorBidi" w:hAnsiTheme="majorBidi" w:cstheme="majorBidi"/>
        </w:rPr>
        <w:t>mycorrhizal</w:t>
      </w:r>
      <w:proofErr w:type="spellEnd"/>
      <w:r w:rsidRPr="00396C47">
        <w:rPr>
          <w:rFonts w:asciiTheme="majorBidi" w:hAnsiTheme="majorBidi" w:cstheme="majorBidi"/>
        </w:rPr>
        <w:t xml:space="preserve"> fungal abundance (AMF; G-H). Normal quantile-quantile (Q-Q) plots (A, C, E, </w:t>
      </w:r>
      <w:proofErr w:type="gramStart"/>
      <w:r w:rsidRPr="00396C47">
        <w:rPr>
          <w:rFonts w:asciiTheme="majorBidi" w:hAnsiTheme="majorBidi" w:cstheme="majorBidi"/>
        </w:rPr>
        <w:t>G</w:t>
      </w:r>
      <w:proofErr w:type="gramEnd"/>
      <w:r w:rsidRPr="00396C47">
        <w:rPr>
          <w:rFonts w:asciiTheme="majorBidi" w:hAnsiTheme="majorBidi" w:cstheme="majorBidi"/>
        </w:rPr>
        <w:t xml:space="preserve">) compare standardized residuals against theoretical normal quantiles. The red solid lines indicate the expected relationship under normally distributed residuals. Residual-versus-fitted plots (B, D, F, H) show standardized residuals against conditional fitted values. Red dashed lines indicate zero residuals, while black lines represent smoothed residual trends. </w:t>
      </w:r>
      <w:proofErr w:type="spellStart"/>
      <w:r w:rsidRPr="00396C47">
        <w:rPr>
          <w:rFonts w:asciiTheme="majorBidi" w:hAnsiTheme="majorBidi" w:cstheme="majorBidi"/>
        </w:rPr>
        <w:t>Breusch</w:t>
      </w:r>
      <w:proofErr w:type="spellEnd"/>
      <w:r w:rsidRPr="00396C47">
        <w:rPr>
          <w:rFonts w:asciiTheme="majorBidi" w:hAnsiTheme="majorBidi" w:cstheme="majorBidi"/>
        </w:rPr>
        <w:t xml:space="preserve">-Pagan (BP) tests </w:t>
      </w:r>
      <w:proofErr w:type="gramStart"/>
      <w:r w:rsidRPr="00396C47">
        <w:rPr>
          <w:rFonts w:asciiTheme="majorBidi" w:hAnsiTheme="majorBidi" w:cstheme="majorBidi"/>
        </w:rPr>
        <w:t>were used</w:t>
      </w:r>
      <w:proofErr w:type="gramEnd"/>
      <w:r w:rsidRPr="00396C47">
        <w:rPr>
          <w:rFonts w:asciiTheme="majorBidi" w:hAnsiTheme="majorBidi" w:cstheme="majorBidi"/>
        </w:rPr>
        <w:t xml:space="preserve"> to assess heteroscedasticity, with chi-squared (χ</w:t>
      </w:r>
      <w:r w:rsidRPr="00DB1729">
        <w:rPr>
          <w:rFonts w:asciiTheme="majorBidi" w:hAnsiTheme="majorBidi" w:cstheme="majorBidi"/>
          <w:vertAlign w:val="superscript"/>
        </w:rPr>
        <w:t>2</w:t>
      </w:r>
      <w:r w:rsidRPr="00396C47">
        <w:rPr>
          <w:rFonts w:asciiTheme="majorBidi" w:hAnsiTheme="majorBidi" w:cstheme="majorBidi"/>
        </w:rPr>
        <w:t>) statistics and associated p-values reported within each panel. The abbreviation “</w:t>
      </w:r>
      <w:proofErr w:type="spellStart"/>
      <w:r w:rsidRPr="00396C47">
        <w:rPr>
          <w:rFonts w:asciiTheme="majorBidi" w:hAnsiTheme="majorBidi" w:cstheme="majorBidi"/>
        </w:rPr>
        <w:t>resid</w:t>
      </w:r>
      <w:proofErr w:type="spellEnd"/>
      <w:r w:rsidRPr="00396C47">
        <w:rPr>
          <w:rFonts w:asciiTheme="majorBidi" w:hAnsiTheme="majorBidi" w:cstheme="majorBidi"/>
        </w:rPr>
        <w:t>.” represents standardized residuals, and (n) represents the number of complete observations included in each component model.</w:t>
      </w:r>
    </w:p>
    <w:p w:rsidR="00415807" w:rsidRDefault="00415807" w:rsidP="00E209F3">
      <w:pPr>
        <w:jc w:val="both"/>
        <w:rPr>
          <w:rFonts w:asciiTheme="majorBidi" w:hAnsiTheme="majorBidi" w:cstheme="majorBidi"/>
          <w:b/>
          <w:bCs/>
          <w:color w:val="000000" w:themeColor="text1"/>
          <w:sz w:val="24"/>
          <w:szCs w:val="24"/>
        </w:rPr>
      </w:pPr>
      <w:r w:rsidRPr="00415807">
        <w:rPr>
          <w:rFonts w:asciiTheme="majorBidi" w:hAnsiTheme="majorBidi" w:cstheme="majorBidi"/>
          <w:b/>
          <w:bCs/>
          <w:noProof/>
          <w:color w:val="000000" w:themeColor="text1"/>
          <w:sz w:val="24"/>
          <w:szCs w:val="24"/>
          <w:lang w:eastAsia="en-GB"/>
        </w:rPr>
        <w:drawing>
          <wp:inline distT="0" distB="0" distL="0" distR="0">
            <wp:extent cx="5731510" cy="2654070"/>
            <wp:effectExtent l="0" t="0" r="2540" b="0"/>
            <wp:docPr id="1" name="Picture 1" descr="A:\staff\Yasamin_A\03_Soil diversity\04_Result\04_Species identity\Reviewer2_vegetation_type_workflow_new_species\04_UAV_GLCM_distinguish_vegetation_types\Figure_Sx_PCA_biplot_UAV_metrics_by_community_type_professional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taff\Yasamin_A\03_Soil diversity\04_Result\04_Species identity\Reviewer2_vegetation_type_workflow_new_species\04_UAV_GLCM_distinguish_vegetation_types\Figure_Sx_PCA_biplot_UAV_metrics_by_community_type_professional_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654070"/>
                    </a:xfrm>
                    <a:prstGeom prst="rect">
                      <a:avLst/>
                    </a:prstGeom>
                    <a:noFill/>
                    <a:ln>
                      <a:noFill/>
                    </a:ln>
                  </pic:spPr>
                </pic:pic>
              </a:graphicData>
            </a:graphic>
          </wp:inline>
        </w:drawing>
      </w:r>
    </w:p>
    <w:p w:rsidR="00545891" w:rsidRDefault="004E5A80" w:rsidP="00545891">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Figure S3</w:t>
      </w:r>
      <w:r w:rsidR="00415807" w:rsidRPr="00415807">
        <w:rPr>
          <w:rFonts w:asciiTheme="majorBidi" w:hAnsiTheme="majorBidi" w:cstheme="majorBidi"/>
          <w:color w:val="000000" w:themeColor="text1"/>
        </w:rPr>
        <w:t xml:space="preserve">. Principal component analysis (PCA) of unmanned aerial vehicle (UAV)-derived canopy metrics, grouped by field-defined vegetation community type. (a) Vegetation indices. (b) Grey-level co-occurrence matrix (GLCM) texture features. Points represent individual </w:t>
      </w:r>
      <w:proofErr w:type="gramStart"/>
      <w:r w:rsidR="00415807" w:rsidRPr="00415807">
        <w:rPr>
          <w:rFonts w:asciiTheme="majorBidi" w:hAnsiTheme="majorBidi" w:cstheme="majorBidi"/>
          <w:color w:val="000000" w:themeColor="text1"/>
        </w:rPr>
        <w:t>1 m²</w:t>
      </w:r>
      <w:proofErr w:type="gramEnd"/>
      <w:r w:rsidR="00415807" w:rsidRPr="00415807">
        <w:rPr>
          <w:rFonts w:asciiTheme="majorBidi" w:hAnsiTheme="majorBidi" w:cstheme="majorBidi"/>
          <w:color w:val="000000" w:themeColor="text1"/>
        </w:rPr>
        <w:t xml:space="preserve"> quadrats, coloured by community type. Dashed ellipses indicate 95% confidence ellipses of group dispersion. Arrows show the strongest-loading UAV variables on the first two principal components. </w:t>
      </w:r>
      <w:proofErr w:type="spellStart"/>
      <w:r w:rsidR="00415807" w:rsidRPr="00415807">
        <w:rPr>
          <w:rFonts w:asciiTheme="majorBidi" w:hAnsiTheme="majorBidi" w:cstheme="majorBidi"/>
          <w:color w:val="000000" w:themeColor="text1"/>
        </w:rPr>
        <w:t>Permutational</w:t>
      </w:r>
      <w:proofErr w:type="spellEnd"/>
      <w:r w:rsidR="00415807" w:rsidRPr="00415807">
        <w:rPr>
          <w:rFonts w:asciiTheme="majorBidi" w:hAnsiTheme="majorBidi" w:cstheme="majorBidi"/>
          <w:color w:val="000000" w:themeColor="text1"/>
        </w:rPr>
        <w:t xml:space="preserve"> multivariate analysis of variance (PERMANOVA) results indicate the degree of multivariate separation among community types in each UAV feature space.</w:t>
      </w:r>
    </w:p>
    <w:p w:rsidR="00545891" w:rsidRPr="00DB6E26" w:rsidRDefault="00A82DE3" w:rsidP="00DB6E26">
      <w:pPr>
        <w:spacing w:line="360" w:lineRule="auto"/>
        <w:jc w:val="both"/>
        <w:rPr>
          <w:rFonts w:ascii="Times New Roman" w:hAnsi="Times New Roman" w:cstheme="majorBidi"/>
        </w:rPr>
      </w:pPr>
      <w:r w:rsidRPr="00A82DE3">
        <w:rPr>
          <w:rFonts w:ascii="Times New Roman" w:hAnsi="Times New Roman" w:cstheme="majorBidi"/>
          <w:bCs/>
        </w:rPr>
        <w:t xml:space="preserve">Table S5. Plant species-cover associations with log </w:t>
      </w:r>
      <w:proofErr w:type="spellStart"/>
      <w:r w:rsidRPr="00A82DE3">
        <w:rPr>
          <w:rFonts w:ascii="Times New Roman" w:hAnsi="Times New Roman" w:cstheme="majorBidi"/>
          <w:bCs/>
        </w:rPr>
        <w:t>arbuscular</w:t>
      </w:r>
      <w:proofErr w:type="spellEnd"/>
      <w:r w:rsidRPr="00A82DE3">
        <w:rPr>
          <w:rFonts w:ascii="Times New Roman" w:hAnsi="Times New Roman" w:cstheme="majorBidi"/>
          <w:bCs/>
        </w:rPr>
        <w:t xml:space="preserve"> </w:t>
      </w:r>
      <w:proofErr w:type="spellStart"/>
      <w:r w:rsidRPr="00A82DE3">
        <w:rPr>
          <w:rFonts w:ascii="Times New Roman" w:hAnsi="Times New Roman" w:cstheme="majorBidi"/>
          <w:bCs/>
        </w:rPr>
        <w:t>mycorrhizal</w:t>
      </w:r>
      <w:proofErr w:type="spellEnd"/>
      <w:r w:rsidRPr="00A82DE3">
        <w:rPr>
          <w:rFonts w:ascii="Times New Roman" w:hAnsi="Times New Roman" w:cstheme="majorBidi"/>
          <w:bCs/>
        </w:rPr>
        <w:t xml:space="preserve"> fungal abundance.</w:t>
      </w:r>
      <w:r w:rsidRPr="00A82DE3">
        <w:rPr>
          <w:rFonts w:ascii="Times New Roman" w:hAnsi="Times New Roman" w:cstheme="majorBidi"/>
          <w:b/>
        </w:rPr>
        <w:t xml:space="preserve"> </w:t>
      </w:r>
      <w:r w:rsidRPr="00A82DE3">
        <w:rPr>
          <w:rFonts w:ascii="Times New Roman" w:hAnsi="Times New Roman" w:cstheme="majorBidi"/>
        </w:rPr>
        <w:t xml:space="preserve">Species-level models </w:t>
      </w:r>
      <w:proofErr w:type="gramStart"/>
      <w:r w:rsidRPr="00A82DE3">
        <w:rPr>
          <w:rFonts w:ascii="Times New Roman" w:hAnsi="Times New Roman" w:cstheme="majorBidi"/>
        </w:rPr>
        <w:t>were fitted</w:t>
      </w:r>
      <w:proofErr w:type="gramEnd"/>
      <w:r w:rsidRPr="00A82DE3">
        <w:rPr>
          <w:rFonts w:ascii="Times New Roman" w:hAnsi="Times New Roman" w:cstheme="majorBidi"/>
        </w:rPr>
        <w:t xml:space="preserve"> for plant species present in at least eight quadrats. For each species, log10-transformed AMF abundance was modelled as a function of species cover while accounting for garden identity and sampling month. Effect sizes represent the change in log10 AMF abundance per 10% increase in species cover. P-values were adjusted across species using the </w:t>
      </w:r>
      <w:proofErr w:type="spellStart"/>
      <w:r w:rsidRPr="00A82DE3">
        <w:rPr>
          <w:rFonts w:ascii="Times New Roman" w:hAnsi="Times New Roman" w:cstheme="majorBidi"/>
        </w:rPr>
        <w:t>Benjamini</w:t>
      </w:r>
      <w:proofErr w:type="spellEnd"/>
      <w:r w:rsidRPr="00A82DE3">
        <w:rPr>
          <w:rFonts w:ascii="Times New Roman" w:hAnsi="Times New Roman" w:cstheme="majorBidi"/>
        </w:rPr>
        <w:t>-Hochberg false-discovery-rate procedure.</w:t>
      </w:r>
      <w:bookmarkStart w:id="0" w:name="_GoBack"/>
      <w:bookmarkEnd w:id="0"/>
    </w:p>
    <w:tbl>
      <w:tblPr>
        <w:tblStyle w:val="TableGrid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650"/>
        <w:gridCol w:w="937"/>
        <w:gridCol w:w="400"/>
        <w:gridCol w:w="705"/>
        <w:gridCol w:w="727"/>
        <w:gridCol w:w="707"/>
        <w:gridCol w:w="723"/>
        <w:gridCol w:w="745"/>
        <w:gridCol w:w="1049"/>
      </w:tblGrid>
      <w:tr w:rsidR="00A82DE3" w:rsidRPr="004A21DF" w:rsidTr="00A82DE3">
        <w:trPr>
          <w:jc w:val="center"/>
        </w:trPr>
        <w:tc>
          <w:tcPr>
            <w:tcW w:w="1346"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Species</w:t>
            </w:r>
          </w:p>
        </w:tc>
        <w:tc>
          <w:tcPr>
            <w:tcW w:w="1452"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Family</w:t>
            </w:r>
          </w:p>
        </w:tc>
        <w:tc>
          <w:tcPr>
            <w:tcW w:w="981"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Status</w:t>
            </w:r>
          </w:p>
        </w:tc>
        <w:tc>
          <w:tcPr>
            <w:tcW w:w="414"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n</w:t>
            </w:r>
          </w:p>
        </w:tc>
        <w:tc>
          <w:tcPr>
            <w:tcW w:w="702"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Mean cover (%)</w:t>
            </w:r>
          </w:p>
        </w:tc>
        <w:tc>
          <w:tcPr>
            <w:tcW w:w="721"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Effect per 10% cover</w:t>
            </w:r>
          </w:p>
        </w:tc>
        <w:tc>
          <w:tcPr>
            <w:tcW w:w="1047"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95% CI</w:t>
            </w:r>
          </w:p>
        </w:tc>
        <w:tc>
          <w:tcPr>
            <w:tcW w:w="429"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p</w:t>
            </w:r>
          </w:p>
        </w:tc>
        <w:tc>
          <w:tcPr>
            <w:tcW w:w="834"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FDR p</w:t>
            </w:r>
          </w:p>
        </w:tc>
        <w:tc>
          <w:tcPr>
            <w:tcW w:w="1100" w:type="dxa"/>
            <w:tcBorders>
              <w:top w:val="single" w:sz="4" w:space="0" w:color="auto"/>
              <w:bottom w:val="single" w:sz="4" w:space="0" w:color="auto"/>
            </w:tcBorders>
            <w:vAlign w:val="center"/>
          </w:tcPr>
          <w:p w:rsidR="00A82DE3" w:rsidRPr="004A21DF" w:rsidRDefault="00A82DE3" w:rsidP="00A82DE3">
            <w:pPr>
              <w:jc w:val="center"/>
              <w:rPr>
                <w:rFonts w:asciiTheme="majorBidi" w:hAnsiTheme="majorBidi" w:cstheme="majorBidi"/>
                <w:b/>
                <w:bCs/>
                <w:sz w:val="20"/>
                <w:szCs w:val="20"/>
              </w:rPr>
            </w:pPr>
            <w:r w:rsidRPr="004A21DF">
              <w:rPr>
                <w:rFonts w:asciiTheme="majorBidi" w:hAnsiTheme="majorBidi" w:cstheme="majorBidi"/>
                <w:b/>
                <w:bCs/>
                <w:sz w:val="20"/>
                <w:szCs w:val="20"/>
              </w:rPr>
              <w:t>Direction</w:t>
            </w:r>
          </w:p>
        </w:tc>
      </w:tr>
      <w:tr w:rsidR="00A82DE3" w:rsidRPr="004A21DF" w:rsidTr="00A82DE3">
        <w:trPr>
          <w:jc w:val="center"/>
        </w:trPr>
        <w:tc>
          <w:tcPr>
            <w:tcW w:w="1346" w:type="dxa"/>
            <w:tcBorders>
              <w:top w:val="single" w:sz="4" w:space="0" w:color="auto"/>
            </w:tcBorders>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Pisum</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sativum</w:t>
            </w:r>
            <w:proofErr w:type="spellEnd"/>
          </w:p>
        </w:tc>
        <w:tc>
          <w:tcPr>
            <w:tcW w:w="1452" w:type="dxa"/>
            <w:tcBorders>
              <w:top w:val="single" w:sz="4" w:space="0" w:color="auto"/>
            </w:tcBorders>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Fabaceae</w:t>
            </w:r>
            <w:proofErr w:type="spellEnd"/>
          </w:p>
        </w:tc>
        <w:tc>
          <w:tcPr>
            <w:tcW w:w="981" w:type="dxa"/>
            <w:tcBorders>
              <w:top w:val="single" w:sz="4" w:space="0" w:color="auto"/>
            </w:tcBorders>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cultivated</w:t>
            </w:r>
          </w:p>
        </w:tc>
        <w:tc>
          <w:tcPr>
            <w:tcW w:w="414" w:type="dxa"/>
            <w:tcBorders>
              <w:top w:val="single" w:sz="4" w:space="0" w:color="auto"/>
            </w:tcBorders>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9</w:t>
            </w:r>
          </w:p>
        </w:tc>
        <w:tc>
          <w:tcPr>
            <w:tcW w:w="702" w:type="dxa"/>
            <w:tcBorders>
              <w:top w:val="single" w:sz="4" w:space="0" w:color="auto"/>
            </w:tcBorders>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7.0</w:t>
            </w:r>
          </w:p>
        </w:tc>
        <w:tc>
          <w:tcPr>
            <w:tcW w:w="721" w:type="dxa"/>
            <w:tcBorders>
              <w:top w:val="single" w:sz="4" w:space="0" w:color="auto"/>
            </w:tcBorders>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-0.724</w:t>
            </w:r>
          </w:p>
        </w:tc>
        <w:tc>
          <w:tcPr>
            <w:tcW w:w="1047" w:type="dxa"/>
            <w:tcBorders>
              <w:top w:val="single" w:sz="4" w:space="0" w:color="auto"/>
            </w:tcBorders>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-0.991 to -0.456</w:t>
            </w:r>
          </w:p>
        </w:tc>
        <w:tc>
          <w:tcPr>
            <w:tcW w:w="429" w:type="dxa"/>
            <w:tcBorders>
              <w:top w:val="single" w:sz="4" w:space="0" w:color="auto"/>
            </w:tcBorders>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&lt;0.001</w:t>
            </w:r>
          </w:p>
        </w:tc>
        <w:tc>
          <w:tcPr>
            <w:tcW w:w="834" w:type="dxa"/>
            <w:tcBorders>
              <w:top w:val="single" w:sz="4" w:space="0" w:color="auto"/>
            </w:tcBorders>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&lt;0.001</w:t>
            </w:r>
          </w:p>
        </w:tc>
        <w:tc>
          <w:tcPr>
            <w:tcW w:w="1100" w:type="dxa"/>
            <w:tcBorders>
              <w:top w:val="single" w:sz="4" w:space="0" w:color="auto"/>
            </w:tcBorders>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Negative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Mentha</w:t>
            </w:r>
            <w:proofErr w:type="spellEnd"/>
            <w:r w:rsidRPr="004A21DF">
              <w:rPr>
                <w:rFonts w:asciiTheme="majorBidi" w:hAnsiTheme="majorBidi" w:cstheme="majorBidi"/>
                <w:b/>
                <w:bCs/>
                <w:i/>
                <w:sz w:val="20"/>
                <w:szCs w:val="20"/>
              </w:rPr>
              <w:t xml:space="preserve"> </w:t>
            </w:r>
            <w:r w:rsidR="00AC46BA" w:rsidRPr="00AC46BA">
              <w:rPr>
                <w:i/>
                <w:iCs/>
                <w:color w:val="000000" w:themeColor="text1"/>
                <w:sz w:val="18"/>
                <w:szCs w:val="18"/>
              </w:rPr>
              <w:t>×</w:t>
            </w:r>
            <w:r w:rsidR="00AC46BA">
              <w:rPr>
                <w:i/>
                <w:iCs/>
                <w:color w:val="0070C0"/>
                <w:sz w:val="18"/>
                <w:szCs w:val="18"/>
              </w:rPr>
              <w:t xml:space="preserve"> </w:t>
            </w:r>
            <w:proofErr w:type="spellStart"/>
            <w:r w:rsidRPr="004A21DF">
              <w:rPr>
                <w:rFonts w:asciiTheme="majorBidi" w:hAnsiTheme="majorBidi" w:cstheme="majorBidi"/>
                <w:b/>
                <w:bCs/>
                <w:i/>
                <w:sz w:val="20"/>
                <w:szCs w:val="20"/>
              </w:rPr>
              <w:t>piperita</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Lamiaceae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cultivated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8</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7.2</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0.535</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0.271 to 0.800</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&lt;0.001</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0.002</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r w:rsidRPr="004A21DF">
              <w:rPr>
                <w:rFonts w:asciiTheme="majorBidi" w:hAnsiTheme="majorBidi" w:cstheme="majorBidi"/>
                <w:b/>
                <w:bCs/>
                <w:i/>
                <w:sz w:val="20"/>
                <w:szCs w:val="20"/>
              </w:rPr>
              <w:t xml:space="preserve">Brassica </w:t>
            </w:r>
            <w:proofErr w:type="spellStart"/>
            <w:r w:rsidRPr="004A21DF">
              <w:rPr>
                <w:rFonts w:asciiTheme="majorBidi" w:hAnsiTheme="majorBidi" w:cstheme="majorBidi"/>
                <w:b/>
                <w:bCs/>
                <w:i/>
                <w:sz w:val="20"/>
                <w:szCs w:val="20"/>
              </w:rPr>
              <w:t>oleracea</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Brassicaceae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cultivated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24</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6.8</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-0.37</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-0.566 to -0.174</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&lt;0.001</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0.004</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Negative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Fragaria</w:t>
            </w:r>
            <w:proofErr w:type="spellEnd"/>
            <w:r w:rsidRPr="004A21DF">
              <w:rPr>
                <w:rFonts w:asciiTheme="majorBidi" w:hAnsiTheme="majorBidi" w:cstheme="majorBidi"/>
                <w:b/>
                <w:bCs/>
                <w:i/>
                <w:sz w:val="20"/>
                <w:szCs w:val="20"/>
              </w:rPr>
              <w:t xml:space="preserve"> </w:t>
            </w:r>
            <w:r w:rsidR="00AC46BA" w:rsidRPr="00AC46BA">
              <w:rPr>
                <w:i/>
                <w:iCs/>
                <w:color w:val="000000" w:themeColor="text1"/>
                <w:sz w:val="18"/>
                <w:szCs w:val="18"/>
              </w:rPr>
              <w:t>×</w:t>
            </w:r>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ananassa</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Rosaceae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cultivated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28</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19.8</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0.087</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0.039 to 0.135</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&lt;0.001</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0.006</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r w:rsidRPr="004A21DF">
              <w:rPr>
                <w:rFonts w:asciiTheme="majorBidi" w:hAnsiTheme="majorBidi" w:cstheme="majorBidi"/>
                <w:b/>
                <w:bCs/>
                <w:i/>
                <w:sz w:val="20"/>
                <w:szCs w:val="20"/>
              </w:rPr>
              <w:t xml:space="preserve">Erigeron </w:t>
            </w:r>
            <w:proofErr w:type="spellStart"/>
            <w:r w:rsidRPr="004A21DF">
              <w:rPr>
                <w:rFonts w:asciiTheme="majorBidi" w:hAnsiTheme="majorBidi" w:cstheme="majorBidi"/>
                <w:b/>
                <w:bCs/>
                <w:i/>
                <w:sz w:val="20"/>
                <w:szCs w:val="20"/>
              </w:rPr>
              <w:t>annuus</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Asteraceae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16</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4.0</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0.593</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0.251 to 0.935</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&lt;0.001</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0.008</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Trifolium</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repens</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Fabaceae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66</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11.6</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0.179</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0.054 to 0.305</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0.005</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0.048</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Chenopodium</w:t>
            </w:r>
            <w:proofErr w:type="spellEnd"/>
            <w:r w:rsidRPr="004A21DF">
              <w:rPr>
                <w:rFonts w:asciiTheme="majorBidi" w:hAnsiTheme="majorBidi" w:cstheme="majorBidi"/>
                <w:b/>
                <w:bCs/>
                <w:i/>
                <w:sz w:val="20"/>
                <w:szCs w:val="20"/>
              </w:rPr>
              <w:t xml:space="preserve"> album</w:t>
            </w:r>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Amaranthaceae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18</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2.5</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-1.576</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-2.757 to -0.396</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0.009</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0.071</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Negative (nominal; not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r w:rsidRPr="004A21DF">
              <w:rPr>
                <w:rFonts w:asciiTheme="majorBidi" w:hAnsiTheme="majorBidi" w:cstheme="majorBidi"/>
                <w:b/>
                <w:bCs/>
                <w:i/>
                <w:sz w:val="20"/>
                <w:szCs w:val="20"/>
              </w:rPr>
              <w:t xml:space="preserve">Erigeron </w:t>
            </w:r>
            <w:proofErr w:type="spellStart"/>
            <w:r w:rsidRPr="004A21DF">
              <w:rPr>
                <w:rFonts w:asciiTheme="majorBidi" w:hAnsiTheme="majorBidi" w:cstheme="majorBidi"/>
                <w:b/>
                <w:bCs/>
                <w:i/>
                <w:sz w:val="20"/>
                <w:szCs w:val="20"/>
              </w:rPr>
              <w:t>canadensis</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Asteraceae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8</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2.5</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1.206</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0.091 to 2.320</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0.034</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0.238</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(nominal; not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Taraxacum</w:t>
            </w:r>
            <w:proofErr w:type="spellEnd"/>
            <w:r w:rsidRPr="004A21DF">
              <w:rPr>
                <w:rFonts w:asciiTheme="majorBidi" w:hAnsiTheme="majorBidi" w:cstheme="majorBidi"/>
                <w:b/>
                <w:bCs/>
                <w:i/>
                <w:sz w:val="20"/>
                <w:szCs w:val="20"/>
              </w:rPr>
              <w:t xml:space="preserve"> sect </w:t>
            </w:r>
            <w:proofErr w:type="spellStart"/>
            <w:r w:rsidRPr="004A21DF">
              <w:rPr>
                <w:rFonts w:asciiTheme="majorBidi" w:hAnsiTheme="majorBidi" w:cstheme="majorBidi"/>
                <w:b/>
                <w:bCs/>
                <w:i/>
                <w:sz w:val="20"/>
                <w:szCs w:val="20"/>
              </w:rPr>
              <w:t>Taraxacum</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sp</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Asteraceae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93</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4.5</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0.14</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0.000 to 0.280</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0.050</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0.297</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(nominal; not FDR-significant)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Achillea</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millefolium</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Asteraceae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32</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5.4</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0.257</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-0.003 to 0.518</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0.053</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0.297</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r w:rsidRPr="004A21DF">
              <w:rPr>
                <w:rFonts w:asciiTheme="majorBidi" w:hAnsiTheme="majorBidi" w:cstheme="majorBidi"/>
                <w:b/>
                <w:bCs/>
                <w:i/>
                <w:sz w:val="20"/>
                <w:szCs w:val="20"/>
              </w:rPr>
              <w:t xml:space="preserve">Veronica </w:t>
            </w:r>
            <w:proofErr w:type="spellStart"/>
            <w:r w:rsidRPr="004A21DF">
              <w:rPr>
                <w:rFonts w:asciiTheme="majorBidi" w:hAnsiTheme="majorBidi" w:cstheme="majorBidi"/>
                <w:b/>
                <w:bCs/>
                <w:i/>
                <w:sz w:val="20"/>
                <w:szCs w:val="20"/>
              </w:rPr>
              <w:t>arvensis</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r w:rsidRPr="004A21DF">
              <w:rPr>
                <w:rFonts w:asciiTheme="majorBidi" w:hAnsiTheme="majorBidi" w:cstheme="majorBidi"/>
                <w:b/>
                <w:bCs/>
                <w:sz w:val="20"/>
                <w:szCs w:val="20"/>
              </w:rPr>
              <w:t>Plantaginaceae</w:t>
            </w:r>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15</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2.1</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-2.731</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-5.766 to 0.303</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0.078</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0.396</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Negative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Malva</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sp</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Malvaceae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10</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3.2</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0.63</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-0.154 to 1.414</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0.115</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0.537</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Stellaria</w:t>
            </w:r>
            <w:proofErr w:type="spellEnd"/>
            <w:r w:rsidRPr="004A21DF">
              <w:rPr>
                <w:rFonts w:asciiTheme="majorBidi" w:hAnsiTheme="majorBidi" w:cstheme="majorBidi"/>
                <w:b/>
                <w:bCs/>
                <w:i/>
                <w:sz w:val="20"/>
                <w:szCs w:val="20"/>
              </w:rPr>
              <w:t xml:space="preserve"> media</w:t>
            </w:r>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Caryophyllaceae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23</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2.2</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-1.099</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-2.534 to 0.335</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0.133</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0.544</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Negative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Galinsoga</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parviflora</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Asteraceae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13</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18.2</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-0.113</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-0.261 to 0.036</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0.137</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0.544</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Negative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r w:rsidRPr="004A21DF">
              <w:rPr>
                <w:rFonts w:asciiTheme="majorBidi" w:hAnsiTheme="majorBidi" w:cstheme="majorBidi"/>
                <w:b/>
                <w:bCs/>
                <w:i/>
                <w:sz w:val="20"/>
                <w:szCs w:val="20"/>
              </w:rPr>
              <w:t>Cucurbita pepo</w:t>
            </w:r>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Cucurbitaceae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cultivated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8</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18.4</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-0.168</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-0.400 to 0.064</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0.155</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0.544</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Negative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r w:rsidRPr="004A21DF">
              <w:rPr>
                <w:rFonts w:asciiTheme="majorBidi" w:hAnsiTheme="majorBidi" w:cstheme="majorBidi"/>
                <w:b/>
                <w:bCs/>
                <w:i/>
                <w:sz w:val="20"/>
                <w:szCs w:val="20"/>
              </w:rPr>
              <w:t xml:space="preserve">Geranium </w:t>
            </w:r>
            <w:proofErr w:type="spellStart"/>
            <w:r w:rsidRPr="004A21DF">
              <w:rPr>
                <w:rFonts w:asciiTheme="majorBidi" w:hAnsiTheme="majorBidi" w:cstheme="majorBidi"/>
                <w:b/>
                <w:bCs/>
                <w:i/>
                <w:sz w:val="20"/>
                <w:szCs w:val="20"/>
              </w:rPr>
              <w:t>sp</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Geraniaceae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8</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1.4</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3.124</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-1.209 to 7.457</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0.158</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0.544</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Sonchus</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sp</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Asteraceae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9</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1.6</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1.262</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-0.520 to 3.043</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0.165</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0.544</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Persicaria</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maculosa</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Polygonaceae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13</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3.0</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-0.493</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-1.234 to 0.248</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0.192</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0.581</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Negative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Potentilla</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reptans</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Rosaceae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wild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22</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3.8</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0.105</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-0.056 to 0.266</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0.201</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0.581</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(not significant)</w:t>
            </w:r>
          </w:p>
        </w:tc>
      </w:tr>
      <w:tr w:rsidR="00A82DE3" w:rsidRPr="004A21DF" w:rsidTr="00A82DE3">
        <w:trPr>
          <w:jc w:val="center"/>
        </w:trPr>
        <w:tc>
          <w:tcPr>
            <w:tcW w:w="1346"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i/>
                <w:sz w:val="20"/>
                <w:szCs w:val="20"/>
              </w:rPr>
              <w:t>Daucus</w:t>
            </w:r>
            <w:proofErr w:type="spellEnd"/>
            <w:r w:rsidRPr="004A21DF">
              <w:rPr>
                <w:rFonts w:asciiTheme="majorBidi" w:hAnsiTheme="majorBidi" w:cstheme="majorBidi"/>
                <w:b/>
                <w:bCs/>
                <w:i/>
                <w:sz w:val="20"/>
                <w:szCs w:val="20"/>
              </w:rPr>
              <w:t xml:space="preserve"> </w:t>
            </w:r>
            <w:proofErr w:type="spellStart"/>
            <w:r w:rsidRPr="004A21DF">
              <w:rPr>
                <w:rFonts w:asciiTheme="majorBidi" w:hAnsiTheme="majorBidi" w:cstheme="majorBidi"/>
                <w:b/>
                <w:bCs/>
                <w:i/>
                <w:sz w:val="20"/>
                <w:szCs w:val="20"/>
              </w:rPr>
              <w:t>sativus</w:t>
            </w:r>
            <w:proofErr w:type="spellEnd"/>
          </w:p>
        </w:tc>
        <w:tc>
          <w:tcPr>
            <w:tcW w:w="1452" w:type="dxa"/>
            <w:vAlign w:val="center"/>
          </w:tcPr>
          <w:p w:rsidR="00A82DE3" w:rsidRPr="004A21DF" w:rsidRDefault="00A82DE3" w:rsidP="004A21DF">
            <w:pPr>
              <w:jc w:val="center"/>
              <w:rPr>
                <w:rFonts w:asciiTheme="majorBidi" w:hAnsiTheme="majorBidi" w:cstheme="majorBidi"/>
                <w:b/>
                <w:bCs/>
                <w:sz w:val="20"/>
                <w:szCs w:val="20"/>
              </w:rPr>
            </w:pPr>
            <w:proofErr w:type="spellStart"/>
            <w:r w:rsidRPr="004A21DF">
              <w:rPr>
                <w:rFonts w:asciiTheme="majorBidi" w:hAnsiTheme="majorBidi" w:cstheme="majorBidi"/>
                <w:b/>
                <w:bCs/>
                <w:sz w:val="20"/>
                <w:szCs w:val="20"/>
              </w:rPr>
              <w:t>Apiaceae</w:t>
            </w:r>
            <w:proofErr w:type="spellEnd"/>
          </w:p>
        </w:tc>
        <w:tc>
          <w:tcPr>
            <w:tcW w:w="981"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cultivated</w:t>
            </w:r>
          </w:p>
        </w:tc>
        <w:tc>
          <w:tcPr>
            <w:tcW w:w="41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18</w:t>
            </w:r>
          </w:p>
        </w:tc>
        <w:tc>
          <w:tcPr>
            <w:tcW w:w="702"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7.7</w:t>
            </w:r>
          </w:p>
        </w:tc>
        <w:tc>
          <w:tcPr>
            <w:tcW w:w="721"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0.098</w:t>
            </w:r>
          </w:p>
        </w:tc>
        <w:tc>
          <w:tcPr>
            <w:tcW w:w="1047"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-0.056 to 0.252</w:t>
            </w:r>
          </w:p>
        </w:tc>
        <w:tc>
          <w:tcPr>
            <w:tcW w:w="429"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0.213</w:t>
            </w:r>
          </w:p>
        </w:tc>
        <w:tc>
          <w:tcPr>
            <w:tcW w:w="834" w:type="dxa"/>
            <w:vAlign w:val="center"/>
          </w:tcPr>
          <w:p w:rsidR="00A82DE3" w:rsidRPr="004A21DF" w:rsidRDefault="00A82DE3" w:rsidP="00A82DE3">
            <w:pPr>
              <w:jc w:val="center"/>
              <w:rPr>
                <w:rFonts w:asciiTheme="majorBidi" w:hAnsiTheme="majorBidi" w:cstheme="majorBidi"/>
                <w:sz w:val="18"/>
                <w:szCs w:val="18"/>
              </w:rPr>
            </w:pPr>
            <w:r w:rsidRPr="004A21DF">
              <w:rPr>
                <w:rFonts w:asciiTheme="majorBidi" w:hAnsiTheme="majorBidi" w:cstheme="majorBidi"/>
                <w:sz w:val="18"/>
                <w:szCs w:val="18"/>
              </w:rPr>
              <w:t>0.581</w:t>
            </w:r>
          </w:p>
        </w:tc>
        <w:tc>
          <w:tcPr>
            <w:tcW w:w="1100" w:type="dxa"/>
            <w:vAlign w:val="center"/>
          </w:tcPr>
          <w:p w:rsidR="00A82DE3" w:rsidRPr="004A21DF" w:rsidRDefault="00A82DE3" w:rsidP="00A82DE3">
            <w:pPr>
              <w:rPr>
                <w:rFonts w:asciiTheme="majorBidi" w:hAnsiTheme="majorBidi" w:cstheme="majorBidi"/>
                <w:sz w:val="18"/>
                <w:szCs w:val="18"/>
              </w:rPr>
            </w:pPr>
            <w:r w:rsidRPr="004A21DF">
              <w:rPr>
                <w:rFonts w:asciiTheme="majorBidi" w:hAnsiTheme="majorBidi" w:cstheme="majorBidi"/>
                <w:sz w:val="18"/>
                <w:szCs w:val="18"/>
              </w:rPr>
              <w:t>Positive (not significant)</w:t>
            </w:r>
          </w:p>
        </w:tc>
      </w:tr>
    </w:tbl>
    <w:p w:rsidR="00A82DE3" w:rsidRDefault="00A82DE3" w:rsidP="00E209F3">
      <w:pPr>
        <w:jc w:val="both"/>
        <w:rPr>
          <w:rFonts w:asciiTheme="majorBidi" w:hAnsiTheme="majorBidi" w:cstheme="majorBidi"/>
          <w:color w:val="000000" w:themeColor="text1"/>
        </w:rPr>
      </w:pPr>
      <w:r w:rsidRPr="00A82DE3">
        <w:rPr>
          <w:rFonts w:ascii="Times New Roman" w:hAnsi="Times New Roman" w:cstheme="majorBidi"/>
          <w:sz w:val="17"/>
        </w:rPr>
        <w:t xml:space="preserve">Note. AMF = </w:t>
      </w:r>
      <w:proofErr w:type="spellStart"/>
      <w:r w:rsidRPr="00A82DE3">
        <w:rPr>
          <w:rFonts w:ascii="Times New Roman" w:hAnsi="Times New Roman" w:cstheme="majorBidi"/>
          <w:sz w:val="17"/>
        </w:rPr>
        <w:t>arbuscular</w:t>
      </w:r>
      <w:proofErr w:type="spellEnd"/>
      <w:r w:rsidRPr="00A82DE3">
        <w:rPr>
          <w:rFonts w:ascii="Times New Roman" w:hAnsi="Times New Roman" w:cstheme="majorBidi"/>
          <w:sz w:val="17"/>
        </w:rPr>
        <w:t xml:space="preserve"> </w:t>
      </w:r>
      <w:proofErr w:type="spellStart"/>
      <w:r w:rsidRPr="00A82DE3">
        <w:rPr>
          <w:rFonts w:ascii="Times New Roman" w:hAnsi="Times New Roman" w:cstheme="majorBidi"/>
          <w:sz w:val="17"/>
        </w:rPr>
        <w:t>mycorrhizal</w:t>
      </w:r>
      <w:proofErr w:type="spellEnd"/>
      <w:r w:rsidRPr="00A82DE3">
        <w:rPr>
          <w:rFonts w:ascii="Times New Roman" w:hAnsi="Times New Roman" w:cstheme="majorBidi"/>
          <w:sz w:val="17"/>
        </w:rPr>
        <w:t xml:space="preserve"> fungi; CI = confidence interval; FDR = false discovery rate. Associations are observational and should not be interpreted as causal species effects</w:t>
      </w:r>
    </w:p>
    <w:p w:rsidR="00A82DE3" w:rsidRDefault="00A82DE3" w:rsidP="00E209F3">
      <w:pPr>
        <w:jc w:val="both"/>
        <w:rPr>
          <w:rFonts w:asciiTheme="majorBidi" w:hAnsiTheme="majorBidi" w:cstheme="majorBidi"/>
          <w:color w:val="000000" w:themeColor="text1"/>
        </w:rPr>
      </w:pPr>
    </w:p>
    <w:p w:rsidR="00160B1F" w:rsidRDefault="00160B1F" w:rsidP="008023C0">
      <w:pPr>
        <w:rPr>
          <w:rFonts w:asciiTheme="majorBidi" w:hAnsiTheme="majorBidi" w:cstheme="majorBidi"/>
          <w:b/>
          <w:bCs/>
          <w:sz w:val="24"/>
          <w:szCs w:val="24"/>
        </w:rPr>
      </w:pPr>
      <w:r>
        <w:rPr>
          <w:rFonts w:asciiTheme="majorBidi" w:hAnsiTheme="majorBidi" w:cstheme="majorBidi"/>
          <w:b/>
          <w:bCs/>
          <w:sz w:val="24"/>
          <w:szCs w:val="24"/>
        </w:rPr>
        <w:t>Reference</w:t>
      </w:r>
      <w:r w:rsidR="00F64F6D">
        <w:rPr>
          <w:rFonts w:asciiTheme="majorBidi" w:hAnsiTheme="majorBidi" w:cstheme="majorBidi"/>
          <w:b/>
          <w:bCs/>
          <w:sz w:val="24"/>
          <w:szCs w:val="24"/>
        </w:rPr>
        <w:t>s</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heme="majorBidi" w:hAnsiTheme="majorBidi" w:cstheme="majorBidi"/>
          <w:b/>
          <w:bCs/>
          <w:sz w:val="24"/>
          <w:szCs w:val="24"/>
        </w:rPr>
        <w:fldChar w:fldCharType="begin" w:fldLock="1"/>
      </w:r>
      <w:r>
        <w:rPr>
          <w:rFonts w:asciiTheme="majorBidi" w:hAnsiTheme="majorBidi" w:cstheme="majorBidi"/>
          <w:b/>
          <w:bCs/>
          <w:sz w:val="24"/>
          <w:szCs w:val="24"/>
        </w:rPr>
        <w:instrText xml:space="preserve">ADDIN Mendeley Bibliography CSL_BIBLIOGRAPHY </w:instrText>
      </w:r>
      <w:r>
        <w:rPr>
          <w:rFonts w:asciiTheme="majorBidi" w:hAnsiTheme="majorBidi" w:cstheme="majorBidi"/>
          <w:b/>
          <w:bCs/>
          <w:sz w:val="24"/>
          <w:szCs w:val="24"/>
        </w:rPr>
        <w:fldChar w:fldCharType="separate"/>
      </w:r>
      <w:r w:rsidRPr="00160B1F">
        <w:rPr>
          <w:rFonts w:ascii="Times New Roman" w:hAnsi="Times New Roman" w:cs="Times New Roman"/>
          <w:noProof/>
          <w:sz w:val="24"/>
          <w:szCs w:val="24"/>
        </w:rPr>
        <w:t>Gitelson, A., physiology, M.M.-J. of plant, 1994,  undefined, 1994. Spectral reflectance changes associated with autumn senescence of Aesculus hippocastanum L. and Acer platanoides L. leaves. Spectral features and relation to. Elsevier 143, 286–292. https://doi.org/10.1016/S0176-1617(11)81633-0</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Gitelson, A.A., Kaufman, Y.J., Merzlyak, M.N., 1996. Use of a green channel in remote sensing of global vegetation from EOS-MODIS. Remote Sens. Environ. 58, 289–298. https://doi.org/10.1016/S0034-4257(96)00072-7</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Gitelson, A.A., Vina, A., Arkebauer, T.J., Rundquist, D.C., Keydan, G., Leavitt, B., 2003. Remote estimation of leaf area index and green leaf biomass in maize canopies. Wiley Online Libr. Gitelson, A Viña, TJ Arkebauer, DC Rundquist, G Keydan, B LeavittGeophysical Res. Lett. 2003•Wiley Online Libr. 30, 1248. https://doi.org/10.1029/2002GL016450</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Haralick, R.M., Dinstein, I., Shanmugam, K., 1973. Textural Features for Image Classification. IEEE Trans. Syst. Man Cybern. SMC-3, 610–621. https://doi.org/10.1109/TSMC.1973.4309314</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Huete, A., Didan, K., Miura, T., Rodriguez, E., … X.G.-R. sensing of, 2002,  undefined, n.d. Overview of the radiometric and biophysical performance of the MODIS vegetation indices. Elsevier.</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Huete, A.R., 1988. A soil-adjusted vegetation index (SAVI). Remote Sens. Environ. 25, 295–309. https://doi.org/10.1016/0034-4257(88)90106-X</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Kruse, F.A., Lefkoff, A.B., Boardman, J.W., Heidebrecht, K.B., Shapiro, A.T., Barloon, P.J., Goetz, A.F.H., 1993. The spectral image processing system (SIPS)—interactive visualization and analysis of imaging spectrometer data. Remote Sens. Environ. 44, 145–163. https://doi.org/10.1016/0034-4257(93)90013-N</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McElhinny, C., Gibbons, P., Brack, C., Bauhus, J., 2005. Forest and woodland stand structural complexity: Its definition and measurement. For. Ecol. Manage. 218, 1–24. https://doi.org/10.1016/j.foreco.2005.08.034</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Rondeaux, G., Steven, M., Baret, F., 1996. Optimization of soil-adjusted vegetation indices. Remote Sens. Environ. 55, 95–107. https://doi.org/10.1016/0034-4257(95)00186-7</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Rouse, J., Haas, R., Schell, J., Publ, D.D.-N.S., 1974,  undefined, n.d. Monitoring vegetation systems in the Great Plains with ERTS. books.google.comJW Rouse, RH Haas, JA Schell, DW DeeringNASA Spec. Publ, 1974•books.google.com.</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Shannon, C.E., 1948. A Mathematical Theory of Communication. Bell Syst. Tech. J. 27, 379–423. https://doi.org/10.1002/J.1538-7305.1948.TB01338.X</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60B1F">
        <w:rPr>
          <w:rFonts w:ascii="Times New Roman" w:hAnsi="Times New Roman" w:cs="Times New Roman"/>
          <w:noProof/>
          <w:sz w:val="24"/>
          <w:szCs w:val="24"/>
        </w:rPr>
        <w:t>Valbuena, R., Packalén, P., Martín-Fernández, S., Maltamo, M., 2012. Diversity and equitability ordering profiles applied to study forest structure. For. Ecol. Manage. 276, 185–195. https://doi.org/10.1016/J.FORECO.2012.03.036</w:t>
      </w:r>
    </w:p>
    <w:p w:rsidR="00160B1F" w:rsidRPr="00160B1F" w:rsidRDefault="00160B1F" w:rsidP="00632707">
      <w:pPr>
        <w:widowControl w:val="0"/>
        <w:autoSpaceDE w:val="0"/>
        <w:autoSpaceDN w:val="0"/>
        <w:adjustRightInd w:val="0"/>
        <w:spacing w:line="240" w:lineRule="auto"/>
        <w:ind w:left="480" w:hanging="480"/>
        <w:jc w:val="both"/>
        <w:rPr>
          <w:rFonts w:ascii="Times New Roman" w:hAnsi="Times New Roman" w:cs="Times New Roman"/>
          <w:noProof/>
          <w:sz w:val="24"/>
        </w:rPr>
      </w:pPr>
      <w:r w:rsidRPr="00160B1F">
        <w:rPr>
          <w:rFonts w:ascii="Times New Roman" w:hAnsi="Times New Roman" w:cs="Times New Roman"/>
          <w:noProof/>
          <w:sz w:val="24"/>
          <w:szCs w:val="24"/>
        </w:rPr>
        <w:t>Wang, R., Gamon, J.A., Emmerton, C.A., Li, H., Nestola, E., Pastorello, G.Z., Menzer, O., 2016. Integrated analysis of productivity and biodiversity in a southern Alberta prairie. Remote Sens. 8, 1–20. https://doi.org/10.3390/rs8030214</w:t>
      </w:r>
    </w:p>
    <w:p w:rsidR="00160B1F" w:rsidRPr="008023C0" w:rsidRDefault="00160B1F" w:rsidP="00632707">
      <w:pPr>
        <w:jc w:val="both"/>
        <w:rPr>
          <w:rFonts w:asciiTheme="majorBidi" w:hAnsiTheme="majorBidi" w:cstheme="majorBidi"/>
          <w:b/>
          <w:bCs/>
          <w:sz w:val="24"/>
          <w:szCs w:val="24"/>
        </w:rPr>
      </w:pPr>
      <w:r>
        <w:rPr>
          <w:rFonts w:asciiTheme="majorBidi" w:hAnsiTheme="majorBidi" w:cstheme="majorBidi"/>
          <w:b/>
          <w:bCs/>
          <w:sz w:val="24"/>
          <w:szCs w:val="24"/>
        </w:rPr>
        <w:fldChar w:fldCharType="end"/>
      </w:r>
    </w:p>
    <w:sectPr w:rsidR="00160B1F" w:rsidRPr="008023C0" w:rsidSect="00A82D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9E4"/>
    <w:rsid w:val="000456A1"/>
    <w:rsid w:val="000E7F2A"/>
    <w:rsid w:val="00160B1F"/>
    <w:rsid w:val="00210949"/>
    <w:rsid w:val="00272C30"/>
    <w:rsid w:val="0035003B"/>
    <w:rsid w:val="00371677"/>
    <w:rsid w:val="003931CE"/>
    <w:rsid w:val="00396C47"/>
    <w:rsid w:val="00415807"/>
    <w:rsid w:val="00497F64"/>
    <w:rsid w:val="004A21DF"/>
    <w:rsid w:val="004E5A80"/>
    <w:rsid w:val="00500580"/>
    <w:rsid w:val="00545891"/>
    <w:rsid w:val="00581B66"/>
    <w:rsid w:val="00632707"/>
    <w:rsid w:val="00662C14"/>
    <w:rsid w:val="007525AD"/>
    <w:rsid w:val="008023C0"/>
    <w:rsid w:val="008E5E4B"/>
    <w:rsid w:val="008F5CDC"/>
    <w:rsid w:val="00926E41"/>
    <w:rsid w:val="009709E4"/>
    <w:rsid w:val="009D4A46"/>
    <w:rsid w:val="009F4D2D"/>
    <w:rsid w:val="00A82DE3"/>
    <w:rsid w:val="00AA2EE9"/>
    <w:rsid w:val="00AC46BA"/>
    <w:rsid w:val="00BE6C5F"/>
    <w:rsid w:val="00CB5B54"/>
    <w:rsid w:val="00D97519"/>
    <w:rsid w:val="00DB1729"/>
    <w:rsid w:val="00DB6E26"/>
    <w:rsid w:val="00DC751D"/>
    <w:rsid w:val="00E05E71"/>
    <w:rsid w:val="00E209F3"/>
    <w:rsid w:val="00E33B67"/>
    <w:rsid w:val="00F25C5B"/>
    <w:rsid w:val="00F30595"/>
    <w:rsid w:val="00F568D2"/>
    <w:rsid w:val="00F64F6D"/>
    <w:rsid w:val="00FE10D7"/>
    <w:rsid w:val="00FF3DBD"/>
    <w:rsid w:val="00FF60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74AC3"/>
  <w15:chartTrackingRefBased/>
  <w15:docId w15:val="{E239FB58-B7A2-4779-B7BB-4363D1270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B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33B67"/>
    <w:pPr>
      <w:jc w:val="both"/>
    </w:pPr>
    <w:rPr>
      <w:rFonts w:asciiTheme="majorBidi" w:hAnsiTheme="majorBidi" w:cstheme="majorBidi"/>
      <w:b/>
      <w:bCs/>
      <w:sz w:val="28"/>
      <w:szCs w:val="28"/>
    </w:rPr>
  </w:style>
  <w:style w:type="character" w:customStyle="1" w:styleId="TitleChar">
    <w:name w:val="Title Char"/>
    <w:basedOn w:val="DefaultParagraphFont"/>
    <w:link w:val="Title"/>
    <w:uiPriority w:val="10"/>
    <w:rsid w:val="00E33B67"/>
    <w:rPr>
      <w:rFonts w:asciiTheme="majorBidi" w:hAnsiTheme="majorBidi" w:cstheme="majorBidi"/>
      <w:b/>
      <w:bCs/>
      <w:sz w:val="28"/>
      <w:szCs w:val="28"/>
    </w:rPr>
  </w:style>
  <w:style w:type="character" w:styleId="Hyperlink">
    <w:name w:val="Hyperlink"/>
    <w:basedOn w:val="DefaultParagraphFont"/>
    <w:uiPriority w:val="99"/>
    <w:unhideWhenUsed/>
    <w:rsid w:val="00E33B67"/>
    <w:rPr>
      <w:color w:val="0563C1" w:themeColor="hyperlink"/>
      <w:u w:val="single"/>
    </w:rPr>
  </w:style>
  <w:style w:type="character" w:styleId="CommentReference">
    <w:name w:val="annotation reference"/>
    <w:basedOn w:val="DefaultParagraphFont"/>
    <w:uiPriority w:val="99"/>
    <w:semiHidden/>
    <w:unhideWhenUsed/>
    <w:rsid w:val="00E33B67"/>
    <w:rPr>
      <w:sz w:val="16"/>
      <w:szCs w:val="16"/>
    </w:rPr>
  </w:style>
  <w:style w:type="paragraph" w:styleId="CommentText">
    <w:name w:val="annotation text"/>
    <w:basedOn w:val="Normal"/>
    <w:link w:val="CommentTextChar"/>
    <w:uiPriority w:val="99"/>
    <w:unhideWhenUsed/>
    <w:rsid w:val="00E33B67"/>
    <w:pPr>
      <w:spacing w:line="240" w:lineRule="auto"/>
      <w:jc w:val="both"/>
    </w:pPr>
    <w:rPr>
      <w:rFonts w:asciiTheme="majorBidi" w:hAnsiTheme="majorBidi" w:cstheme="majorBidi"/>
      <w:sz w:val="20"/>
      <w:szCs w:val="20"/>
    </w:rPr>
  </w:style>
  <w:style w:type="character" w:customStyle="1" w:styleId="CommentTextChar">
    <w:name w:val="Comment Text Char"/>
    <w:basedOn w:val="DefaultParagraphFont"/>
    <w:link w:val="CommentText"/>
    <w:uiPriority w:val="99"/>
    <w:rsid w:val="00E33B67"/>
    <w:rPr>
      <w:rFonts w:asciiTheme="majorBidi" w:hAnsiTheme="majorBidi" w:cstheme="majorBidi"/>
      <w:sz w:val="20"/>
      <w:szCs w:val="20"/>
    </w:rPr>
  </w:style>
  <w:style w:type="paragraph" w:styleId="BalloonText">
    <w:name w:val="Balloon Text"/>
    <w:basedOn w:val="Normal"/>
    <w:link w:val="BalloonTextChar"/>
    <w:uiPriority w:val="99"/>
    <w:semiHidden/>
    <w:unhideWhenUsed/>
    <w:rsid w:val="00E33B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B67"/>
    <w:rPr>
      <w:rFonts w:ascii="Segoe UI" w:hAnsi="Segoe UI" w:cs="Segoe UI"/>
      <w:sz w:val="18"/>
      <w:szCs w:val="18"/>
    </w:rPr>
  </w:style>
  <w:style w:type="table" w:styleId="TableGrid">
    <w:name w:val="Table Grid"/>
    <w:basedOn w:val="TableNormal"/>
    <w:uiPriority w:val="39"/>
    <w:rsid w:val="00210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A2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82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kang.yu@tum.d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8499A-BAD6-476E-9ECB-0961E082B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8605</Words>
  <Characters>49052</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Yasamin Afrasiabian</dc:creator>
  <cp:keywords/>
  <dc:description/>
  <cp:lastModifiedBy>Yasamin Afrasiabian</cp:lastModifiedBy>
  <cp:revision>3</cp:revision>
  <dcterms:created xsi:type="dcterms:W3CDTF">2026-07-29T08:40:00Z</dcterms:created>
  <dcterms:modified xsi:type="dcterms:W3CDTF">2026-07-29T08:41:00Z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http://www.zotero.org/styles/international-journal-of-applied-earth-observations-and-geoinformation</vt:lpwstr>
  </property>
  <property fmtid="{D5CDD505-2E9C-101B-9397-08002B2CF9AE}" pid="13" name="Mendeley Recent Style Name 5_1">
    <vt:lpwstr>International Journal of Applied Earth Observations and Geoinformation</vt:lpwstr>
  </property>
  <property fmtid="{D5CDD505-2E9C-101B-9397-08002B2CF9AE}" pid="14" name="Mendeley Recent Style Id 6_1">
    <vt:lpwstr>http://www.zotero.org/styles/methods-in-ecology-and-evolution</vt:lpwstr>
  </property>
  <property fmtid="{D5CDD505-2E9C-101B-9397-08002B2CF9AE}" pid="15" name="Mendeley Recent Style Name 6_1">
    <vt:lpwstr>Methods in Ecology and Evolution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http://www.zotero.org/styles/nature-brackets</vt:lpwstr>
  </property>
  <property fmtid="{D5CDD505-2E9C-101B-9397-08002B2CF9AE}" pid="19" name="Mendeley Recent Style Name 8_1">
    <vt:lpwstr>Nature (brackets, no superscript)</vt:lpwstr>
  </property>
  <property fmtid="{D5CDD505-2E9C-101B-9397-08002B2CF9AE}" pid="20" name="Mendeley Recent Style Id 9_1">
    <vt:lpwstr>http://www.zotero.org/styles/nature-doi</vt:lpwstr>
  </property>
  <property fmtid="{D5CDD505-2E9C-101B-9397-08002B2CF9AE}" pid="21" name="Mendeley Recent Style Name 9_1">
    <vt:lpwstr>Nature DOI</vt:lpwstr>
  </property>
  <property fmtid="{D5CDD505-2E9C-101B-9397-08002B2CF9AE}" pid="22" name="Mendeley Document_1">
    <vt:lpwstr>True</vt:lpwstr>
  </property>
  <property fmtid="{D5CDD505-2E9C-101B-9397-08002B2CF9AE}" pid="23" name="Mendeley Unique User Id_1">
    <vt:lpwstr>3f1e103b-df9c-3ef3-bb22-f2420c0e94ea</vt:lpwstr>
  </property>
  <property fmtid="{D5CDD505-2E9C-101B-9397-08002B2CF9AE}" pid="24" name="Mendeley Citation Style_1">
    <vt:lpwstr>http://www.zotero.org/styles/international-journal-of-applied-earth-observations-and-geoinformation</vt:lpwstr>
  </property>
</Properties>
</file>