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F15F9" w14:textId="5A2545DD" w:rsidR="007C740D" w:rsidRPr="007868A0" w:rsidRDefault="00B86577" w:rsidP="009629A7">
      <w:pPr>
        <w:pStyle w:val="berschrift"/>
        <w:ind w:firstLine="0"/>
      </w:pPr>
      <w:bookmarkStart w:id="0" w:name="_Hlk184029714"/>
      <w:r w:rsidRPr="00B86577">
        <w:rPr>
          <w:i/>
        </w:rPr>
        <w:t>Supplemental Materials:</w:t>
      </w:r>
      <w:r>
        <w:t xml:space="preserve"> </w:t>
      </w:r>
      <w:bookmarkEnd w:id="0"/>
      <w:r w:rsidR="00D258AB" w:rsidRPr="00AC3085">
        <w:t>Normalization of Gut Hormone Levels Following Long-Term Recovery from Anorexia Nervosa</w:t>
      </w:r>
    </w:p>
    <w:p w14:paraId="5001748B" w14:textId="3C4D4819" w:rsidR="00F92438" w:rsidRPr="00D82F46" w:rsidRDefault="00F92438" w:rsidP="00F92438">
      <w:pPr>
        <w:suppressLineNumbers/>
        <w:rPr>
          <w:rStyle w:val="Nummerierungszeichen"/>
        </w:rPr>
      </w:pPr>
      <w:r w:rsidRPr="005237BA">
        <w:rPr>
          <w:rStyle w:val="Nummerierungszeichen"/>
        </w:rPr>
        <w:t>Theresa Kolb</w:t>
      </w:r>
      <w:r w:rsidRPr="005237BA">
        <w:rPr>
          <w:rStyle w:val="Nummerierungszeichen"/>
          <w:vertAlign w:val="superscript"/>
        </w:rPr>
        <w:t>1</w:t>
      </w:r>
      <w:r w:rsidRPr="005237BA">
        <w:rPr>
          <w:rStyle w:val="Nummerierungszeichen"/>
        </w:rPr>
        <w:t>, Friederike I. Tam</w:t>
      </w:r>
      <w:r w:rsidRPr="005237BA">
        <w:rPr>
          <w:rStyle w:val="Nummerierungszeichen"/>
          <w:vertAlign w:val="superscript"/>
        </w:rPr>
        <w:t>1</w:t>
      </w:r>
      <w:r w:rsidRPr="005237BA">
        <w:rPr>
          <w:rStyle w:val="Nummerierungszeichen"/>
        </w:rPr>
        <w:t>, Claudia Förster Ribet</w:t>
      </w:r>
      <w:r w:rsidRPr="005237BA">
        <w:rPr>
          <w:rStyle w:val="Nummerierungszeichen"/>
          <w:vertAlign w:val="superscript"/>
        </w:rPr>
        <w:t>1</w:t>
      </w:r>
      <w:r w:rsidRPr="005237BA">
        <w:rPr>
          <w:rStyle w:val="Nummerierungszeichen"/>
        </w:rPr>
        <w:t xml:space="preserve">, </w:t>
      </w:r>
      <w:r>
        <w:rPr>
          <w:rStyle w:val="Nummerierungszeichen"/>
        </w:rPr>
        <w:t>Michaela Ohme</w:t>
      </w:r>
      <w:r>
        <w:rPr>
          <w:rStyle w:val="Nummerierungszeichen"/>
          <w:vertAlign w:val="superscript"/>
        </w:rPr>
        <w:t>1</w:t>
      </w:r>
      <w:r>
        <w:rPr>
          <w:rStyle w:val="Nummerierungszeichen"/>
        </w:rPr>
        <w:t xml:space="preserve">, </w:t>
      </w:r>
      <w:r w:rsidRPr="005237BA">
        <w:rPr>
          <w:rStyle w:val="Nummerierungszeichen"/>
        </w:rPr>
        <w:t xml:space="preserve">Lina </w:t>
      </w:r>
      <w:r w:rsidR="00BE2BD3">
        <w:rPr>
          <w:rStyle w:val="Nummerierungszeichen"/>
        </w:rPr>
        <w:t xml:space="preserve">C. </w:t>
      </w:r>
      <w:r w:rsidRPr="005237BA">
        <w:rPr>
          <w:rStyle w:val="Nummerierungszeichen"/>
        </w:rPr>
        <w:t>Schlolaut</w:t>
      </w:r>
      <w:r w:rsidRPr="005237BA">
        <w:rPr>
          <w:rStyle w:val="Nummerierungszeichen"/>
          <w:vertAlign w:val="superscript"/>
        </w:rPr>
        <w:t>1</w:t>
      </w:r>
      <w:r w:rsidRPr="005237BA">
        <w:rPr>
          <w:rStyle w:val="Nummerierungszeichen"/>
        </w:rPr>
        <w:t>,</w:t>
      </w:r>
      <w:r w:rsidRPr="005237BA">
        <w:rPr>
          <w:rStyle w:val="Nummerierungszeichen"/>
          <w:vertAlign w:val="superscript"/>
        </w:rPr>
        <w:t xml:space="preserve"> </w:t>
      </w:r>
      <w:r>
        <w:rPr>
          <w:rStyle w:val="Nummerierungszeichen"/>
        </w:rPr>
        <w:t>Joseph A. King</w:t>
      </w:r>
      <w:r w:rsidRPr="005237BA">
        <w:rPr>
          <w:rStyle w:val="Nummerierungszeichen"/>
          <w:vertAlign w:val="superscript"/>
        </w:rPr>
        <w:t>1</w:t>
      </w:r>
      <w:r>
        <w:rPr>
          <w:rStyle w:val="Nummerierungszeichen"/>
        </w:rPr>
        <w:t xml:space="preserve">, </w:t>
      </w:r>
      <w:r w:rsidRPr="005237BA">
        <w:rPr>
          <w:rStyle w:val="Nummerierungszeichen"/>
        </w:rPr>
        <w:t>Veit Rössner</w:t>
      </w:r>
      <w:r w:rsidRPr="005237BA">
        <w:rPr>
          <w:rStyle w:val="Nummerierungszeichen"/>
          <w:vertAlign w:val="superscript"/>
        </w:rPr>
        <w:t>2</w:t>
      </w:r>
      <w:r w:rsidRPr="005237BA">
        <w:rPr>
          <w:rStyle w:val="Nummerierungszeichen"/>
        </w:rPr>
        <w:t>, Suzanne L. Di</w:t>
      </w:r>
      <w:r>
        <w:rPr>
          <w:rStyle w:val="Nummerierungszeichen"/>
        </w:rPr>
        <w:t>ckson</w:t>
      </w:r>
      <w:r>
        <w:rPr>
          <w:rStyle w:val="Nummerierungszeichen"/>
          <w:vertAlign w:val="superscript"/>
          <w:lang w:val="en-US"/>
        </w:rPr>
        <w:t>3</w:t>
      </w:r>
      <w:r>
        <w:rPr>
          <w:rStyle w:val="Nummerierungszeichen"/>
        </w:rPr>
        <w:t>,</w:t>
      </w:r>
      <w:r w:rsidRPr="005237BA">
        <w:rPr>
          <w:rStyle w:val="Nummerierungszeichen"/>
        </w:rPr>
        <w:t xml:space="preserve"> Alessandra Borsini</w:t>
      </w:r>
      <w:r>
        <w:rPr>
          <w:rStyle w:val="Nummerierungszeichen"/>
          <w:vertAlign w:val="superscript"/>
        </w:rPr>
        <w:t>4</w:t>
      </w:r>
      <w:r w:rsidRPr="005237BA">
        <w:rPr>
          <w:rStyle w:val="Nummerierungszeichen"/>
        </w:rPr>
        <w:t>, Nikolaos Perakakis</w:t>
      </w:r>
      <w:r>
        <w:rPr>
          <w:rStyle w:val="Nummerierungszeichen"/>
          <w:vertAlign w:val="superscript"/>
        </w:rPr>
        <w:t>5</w:t>
      </w:r>
      <w:r w:rsidRPr="005237BA">
        <w:rPr>
          <w:rStyle w:val="Nummerierungszeichen"/>
          <w:vertAlign w:val="superscript"/>
        </w:rPr>
        <w:t>,</w:t>
      </w:r>
      <w:r>
        <w:rPr>
          <w:rStyle w:val="Nummerierungszeichen"/>
          <w:vertAlign w:val="superscript"/>
        </w:rPr>
        <w:t>7</w:t>
      </w:r>
      <w:r w:rsidRPr="005237BA">
        <w:rPr>
          <w:rStyle w:val="Nummerierungszeichen"/>
          <w:vertAlign w:val="superscript"/>
        </w:rPr>
        <w:t>,</w:t>
      </w:r>
      <w:r>
        <w:rPr>
          <w:rStyle w:val="Nummerierungszeichen"/>
          <w:vertAlign w:val="superscript"/>
        </w:rPr>
        <w:t>8</w:t>
      </w:r>
      <w:r w:rsidRPr="005237BA">
        <w:rPr>
          <w:rStyle w:val="Nummerierungszeichen"/>
          <w:vertAlign w:val="superscript"/>
        </w:rPr>
        <w:t>,§</w:t>
      </w:r>
      <w:r w:rsidRPr="005237BA">
        <w:rPr>
          <w:rStyle w:val="Nummerierungszeichen"/>
        </w:rPr>
        <w:t>, Stefan Ehrlich</w:t>
      </w:r>
      <w:r w:rsidRPr="005237BA">
        <w:rPr>
          <w:rStyle w:val="Nummerierungszeichen"/>
          <w:vertAlign w:val="superscript"/>
        </w:rPr>
        <w:t>1,</w:t>
      </w:r>
      <w:r>
        <w:rPr>
          <w:rStyle w:val="Nummerierungszeichen"/>
          <w:vertAlign w:val="superscript"/>
        </w:rPr>
        <w:t>6</w:t>
      </w:r>
      <w:r w:rsidRPr="005237BA">
        <w:rPr>
          <w:rStyle w:val="Nummerierungszeichen"/>
          <w:vertAlign w:val="superscript"/>
        </w:rPr>
        <w:t>,§</w:t>
      </w:r>
    </w:p>
    <w:p w14:paraId="62E0C6F2" w14:textId="77777777" w:rsidR="00F92438" w:rsidRPr="005237BA" w:rsidRDefault="00F92438" w:rsidP="00F92438">
      <w:pPr>
        <w:suppressLineNumbers/>
        <w:rPr>
          <w:rStyle w:val="Nummerierungszeichen"/>
        </w:rPr>
      </w:pPr>
    </w:p>
    <w:p w14:paraId="643D1292" w14:textId="77777777" w:rsidR="00F92438" w:rsidRPr="00094C99" w:rsidRDefault="00F92438" w:rsidP="00F92438">
      <w:pPr>
        <w:suppressLineNumbers/>
        <w:rPr>
          <w:rStyle w:val="Nummerierungszeichen"/>
          <w:lang w:val="en-US"/>
        </w:rPr>
      </w:pPr>
      <w:r w:rsidRPr="00094C99">
        <w:rPr>
          <w:rStyle w:val="Nummerierungszeichen"/>
          <w:vertAlign w:val="superscript"/>
          <w:lang w:val="en-US"/>
        </w:rPr>
        <w:t>1</w:t>
      </w:r>
      <w:r w:rsidRPr="00094C99">
        <w:rPr>
          <w:rStyle w:val="Nummerierungszeichen"/>
          <w:lang w:val="en-US"/>
        </w:rPr>
        <w:t xml:space="preserve">Division of Psychological and Social Medicine and Developmental Neurosciences, Faculty of Medicine, </w:t>
      </w:r>
      <w:proofErr w:type="spellStart"/>
      <w:r w:rsidRPr="00094C99">
        <w:rPr>
          <w:rStyle w:val="Nummerierungszeichen"/>
          <w:lang w:val="en-US"/>
        </w:rPr>
        <w:t>Technische</w:t>
      </w:r>
      <w:proofErr w:type="spellEnd"/>
      <w:r w:rsidRPr="00094C99">
        <w:rPr>
          <w:rStyle w:val="Nummerierungszeichen"/>
          <w:lang w:val="en-US"/>
        </w:rPr>
        <w:t xml:space="preserve"> Universität Dresden, Dresden, Germany; </w:t>
      </w:r>
    </w:p>
    <w:p w14:paraId="15FE5105" w14:textId="77777777" w:rsidR="00F92438" w:rsidRDefault="00F92438" w:rsidP="00F92438">
      <w:pPr>
        <w:suppressLineNumbers/>
      </w:pPr>
      <w:r w:rsidRPr="00094C99">
        <w:rPr>
          <w:rStyle w:val="Nummerierungszeichen"/>
          <w:vertAlign w:val="superscript"/>
          <w:lang w:val="en-US"/>
        </w:rPr>
        <w:t>2</w:t>
      </w:r>
      <w:r w:rsidRPr="00C22680">
        <w:t>Department of Child and Adolescent Psychiatry and Psychotherapy</w:t>
      </w:r>
      <w:r>
        <w:t>;</w:t>
      </w:r>
    </w:p>
    <w:p w14:paraId="5876E875" w14:textId="77777777" w:rsidR="00F92438" w:rsidRPr="00474208" w:rsidRDefault="00F92438" w:rsidP="00F92438">
      <w:pPr>
        <w:suppressLineNumbers/>
      </w:pPr>
      <w:r>
        <w:rPr>
          <w:rStyle w:val="Nummerierungszeichen"/>
          <w:vertAlign w:val="superscript"/>
          <w:lang w:val="en-US"/>
        </w:rPr>
        <w:t>3</w:t>
      </w:r>
      <w:r w:rsidRPr="00474208">
        <w:t xml:space="preserve">Institute of Neuroscience and Physiology, The </w:t>
      </w:r>
      <w:proofErr w:type="spellStart"/>
      <w:r w:rsidRPr="00474208">
        <w:t>Sahlgrenska</w:t>
      </w:r>
      <w:proofErr w:type="spellEnd"/>
      <w:r w:rsidRPr="00474208">
        <w:t xml:space="preserve"> Academy at the University of Gothenburg Sweden</w:t>
      </w:r>
      <w:r>
        <w:t>;</w:t>
      </w:r>
    </w:p>
    <w:p w14:paraId="64C0C0D2" w14:textId="784EC49C" w:rsidR="00F92438" w:rsidRPr="00C22680" w:rsidRDefault="00F92438" w:rsidP="00F92438">
      <w:pPr>
        <w:suppressLineNumbers/>
        <w:rPr>
          <w:rStyle w:val="Nummerierungszeichen"/>
          <w:lang w:val="en-US"/>
        </w:rPr>
      </w:pPr>
      <w:r>
        <w:rPr>
          <w:rStyle w:val="Nummerierungszeichen"/>
          <w:vertAlign w:val="superscript"/>
          <w:lang w:val="en-US"/>
        </w:rPr>
        <w:t>4</w:t>
      </w:r>
      <w:r w:rsidRPr="003910F3">
        <w:rPr>
          <w:rStyle w:val="Nummerierungszeichen"/>
          <w:lang w:val="en-US"/>
        </w:rPr>
        <w:t>Stress, Psychiatry and Immunology Laboratory, Institute of Psychiatry, Psychology and Neuroscience, Department of Psychological Medicine, King's College London, London, UK</w:t>
      </w:r>
      <w:r w:rsidR="00E86F66">
        <w:rPr>
          <w:rStyle w:val="Nummerierungszeichen"/>
          <w:lang w:val="en-US"/>
        </w:rPr>
        <w:t>;</w:t>
      </w:r>
    </w:p>
    <w:p w14:paraId="51B21CD8" w14:textId="77777777" w:rsidR="00F92438" w:rsidRPr="00094C99" w:rsidRDefault="00F92438" w:rsidP="00F92438">
      <w:pPr>
        <w:suppressLineNumbers/>
        <w:rPr>
          <w:rStyle w:val="Nummerierungszeichen"/>
          <w:lang w:val="en-US"/>
        </w:rPr>
      </w:pPr>
      <w:r>
        <w:rPr>
          <w:rStyle w:val="Nummerierungszeichen"/>
          <w:vertAlign w:val="superscript"/>
          <w:lang w:val="en-US"/>
        </w:rPr>
        <w:t>5</w:t>
      </w:r>
      <w:r w:rsidRPr="00094C99">
        <w:rPr>
          <w:rStyle w:val="Nummerierungszeichen"/>
          <w:lang w:val="en-US"/>
        </w:rPr>
        <w:t xml:space="preserve">Department of Internal Medicine III, University Hospital Carl Gustav </w:t>
      </w:r>
      <w:proofErr w:type="spellStart"/>
      <w:r w:rsidRPr="00094C99">
        <w:rPr>
          <w:rStyle w:val="Nummerierungszeichen"/>
          <w:lang w:val="en-US"/>
        </w:rPr>
        <w:t>Carus</w:t>
      </w:r>
      <w:proofErr w:type="spellEnd"/>
      <w:r w:rsidRPr="00094C99">
        <w:rPr>
          <w:rStyle w:val="Nummerierungszeichen"/>
          <w:lang w:val="en-US"/>
        </w:rPr>
        <w:t xml:space="preserve">, </w:t>
      </w:r>
      <w:proofErr w:type="spellStart"/>
      <w:r w:rsidRPr="00094C99">
        <w:rPr>
          <w:rStyle w:val="Nummerierungszeichen"/>
          <w:lang w:val="en-US"/>
        </w:rPr>
        <w:t>Technische</w:t>
      </w:r>
      <w:proofErr w:type="spellEnd"/>
      <w:r w:rsidRPr="00094C99">
        <w:rPr>
          <w:rStyle w:val="Nummerierungszeichen"/>
          <w:lang w:val="en-US"/>
        </w:rPr>
        <w:t xml:space="preserve"> Universität Dresden;</w:t>
      </w:r>
    </w:p>
    <w:p w14:paraId="39095B2B" w14:textId="77777777" w:rsidR="00F92438" w:rsidRPr="00094C99" w:rsidRDefault="00F92438" w:rsidP="00F92438">
      <w:pPr>
        <w:suppressLineNumbers/>
        <w:rPr>
          <w:rStyle w:val="Nummerierungszeichen"/>
          <w:lang w:val="en-US"/>
        </w:rPr>
      </w:pPr>
      <w:r>
        <w:rPr>
          <w:rStyle w:val="Nummerierungszeichen"/>
          <w:vertAlign w:val="superscript"/>
          <w:lang w:val="en-US"/>
        </w:rPr>
        <w:t>6</w:t>
      </w:r>
      <w:r w:rsidRPr="00094C99">
        <w:rPr>
          <w:rStyle w:val="Nummerierungszeichen"/>
          <w:lang w:val="en-US"/>
        </w:rPr>
        <w:t xml:space="preserve">Eating Disorder Treatment and Research Center, Department of Child and Adolescent Psychiatry, Faculty of Medicine, </w:t>
      </w:r>
      <w:proofErr w:type="spellStart"/>
      <w:r w:rsidRPr="00094C99">
        <w:rPr>
          <w:rStyle w:val="Nummerierungszeichen"/>
          <w:lang w:val="en-US"/>
        </w:rPr>
        <w:t>Technische</w:t>
      </w:r>
      <w:proofErr w:type="spellEnd"/>
      <w:r w:rsidRPr="00094C99">
        <w:rPr>
          <w:rStyle w:val="Nummerierungszeichen"/>
          <w:lang w:val="en-US"/>
        </w:rPr>
        <w:t xml:space="preserve"> Universität Dresden, Dresden, Germany</w:t>
      </w:r>
      <w:r>
        <w:rPr>
          <w:rStyle w:val="Nummerierungszeichen"/>
          <w:lang w:val="en-US"/>
        </w:rPr>
        <w:t>;</w:t>
      </w:r>
    </w:p>
    <w:p w14:paraId="36FB4C26" w14:textId="77777777" w:rsidR="00F92438" w:rsidRPr="00094C99" w:rsidRDefault="00F92438" w:rsidP="00F92438">
      <w:pPr>
        <w:suppressLineNumbers/>
        <w:rPr>
          <w:rStyle w:val="Nummerierungszeichen"/>
          <w:lang w:val="en-US"/>
        </w:rPr>
      </w:pPr>
      <w:r>
        <w:rPr>
          <w:rStyle w:val="Nummerierungszeichen"/>
          <w:vertAlign w:val="superscript"/>
          <w:lang w:val="en-US"/>
        </w:rPr>
        <w:t>7</w:t>
      </w:r>
      <w:r w:rsidRPr="00094C99">
        <w:rPr>
          <w:rStyle w:val="Nummerierungszeichen"/>
          <w:lang w:val="en-US"/>
        </w:rPr>
        <w:t>Paul Langerhans Institute Dresden (PLID), Helmholtz Center Munich, University Hospital and Faculty of Medicine;</w:t>
      </w:r>
    </w:p>
    <w:p w14:paraId="61A52B3D" w14:textId="77777777" w:rsidR="00F92438" w:rsidRPr="003D1D01" w:rsidRDefault="00F92438" w:rsidP="00F92438">
      <w:pPr>
        <w:suppressLineNumbers/>
        <w:rPr>
          <w:rStyle w:val="Nummerierungszeichen"/>
          <w:lang w:val="en-US"/>
        </w:rPr>
      </w:pPr>
      <w:r>
        <w:rPr>
          <w:rStyle w:val="Nummerierungszeichen"/>
          <w:vertAlign w:val="superscript"/>
          <w:lang w:val="en-US"/>
        </w:rPr>
        <w:t>8</w:t>
      </w:r>
      <w:r w:rsidRPr="003D1D01">
        <w:rPr>
          <w:rStyle w:val="Nummerierungszeichen"/>
          <w:lang w:val="en-US"/>
        </w:rPr>
        <w:t xml:space="preserve">German Center for Diabetes Research (DZD </w:t>
      </w:r>
      <w:proofErr w:type="spellStart"/>
      <w:r w:rsidRPr="003D1D01">
        <w:rPr>
          <w:rStyle w:val="Nummerierungszeichen"/>
          <w:lang w:val="en-US"/>
        </w:rPr>
        <w:t>e.V</w:t>
      </w:r>
      <w:proofErr w:type="spellEnd"/>
      <w:r w:rsidRPr="003D1D01">
        <w:rPr>
          <w:rStyle w:val="Nummerierungszeichen"/>
          <w:lang w:val="en-US"/>
        </w:rPr>
        <w:t xml:space="preserve">.), </w:t>
      </w:r>
      <w:proofErr w:type="spellStart"/>
      <w:r w:rsidRPr="003D1D01">
        <w:rPr>
          <w:rStyle w:val="Nummerierungszeichen"/>
          <w:lang w:val="en-US"/>
        </w:rPr>
        <w:t>Neuherberg</w:t>
      </w:r>
      <w:proofErr w:type="spellEnd"/>
      <w:r w:rsidRPr="003D1D01">
        <w:rPr>
          <w:rStyle w:val="Nummerierungszeichen"/>
          <w:lang w:val="en-US"/>
        </w:rPr>
        <w:t>, Germany;</w:t>
      </w:r>
    </w:p>
    <w:p w14:paraId="2A70AFF5" w14:textId="3D08F096" w:rsidR="000A7166" w:rsidRDefault="00F92438" w:rsidP="00E86F66">
      <w:pPr>
        <w:suppressLineNumbers/>
        <w:rPr>
          <w:b/>
          <w:lang w:val="en-US"/>
        </w:rPr>
      </w:pPr>
      <w:r w:rsidRPr="00094C99">
        <w:rPr>
          <w:rStyle w:val="Nummerierungszeichen"/>
          <w:vertAlign w:val="superscript"/>
          <w:lang w:val="en-US"/>
        </w:rPr>
        <w:t>§</w:t>
      </w:r>
      <w:r w:rsidRPr="00094C99">
        <w:rPr>
          <w:rStyle w:val="Nummerierungszeichen"/>
          <w:lang w:val="en-US"/>
        </w:rPr>
        <w:t>Both authors contributed equally to this work.</w:t>
      </w:r>
      <w:r w:rsidR="000A7166">
        <w:rPr>
          <w:b/>
          <w:lang w:val="en-US"/>
        </w:rPr>
        <w:br w:type="page"/>
      </w:r>
    </w:p>
    <w:p w14:paraId="4A91FD19" w14:textId="77777777" w:rsidR="00CF0BA9" w:rsidRDefault="00E442BC" w:rsidP="00CF0BA9">
      <w:pPr>
        <w:pStyle w:val="Heading2"/>
        <w:numPr>
          <w:ilvl w:val="0"/>
          <w:numId w:val="6"/>
        </w:numPr>
      </w:pPr>
      <w:r w:rsidRPr="00E442BC">
        <w:lastRenderedPageBreak/>
        <w:t>Methods</w:t>
      </w:r>
    </w:p>
    <w:p w14:paraId="5C0E6A11" w14:textId="67F2FCF7" w:rsidR="000A7166" w:rsidRPr="00CF0BA9" w:rsidRDefault="00697483" w:rsidP="00CF0BA9">
      <w:pPr>
        <w:pStyle w:val="Heading2"/>
        <w:numPr>
          <w:ilvl w:val="1"/>
          <w:numId w:val="6"/>
        </w:numPr>
        <w:tabs>
          <w:tab w:val="num" w:pos="-360"/>
        </w:tabs>
        <w:suppressAutoHyphens/>
        <w:spacing w:after="0" w:line="480" w:lineRule="auto"/>
        <w:ind w:left="432" w:hanging="432"/>
        <w:contextualSpacing/>
        <w:jc w:val="both"/>
        <w:rPr>
          <w:b w:val="0"/>
        </w:rPr>
      </w:pPr>
      <w:r w:rsidRPr="00CF0BA9">
        <w:rPr>
          <w:b w:val="0"/>
          <w:i/>
        </w:rPr>
        <w:t>A</w:t>
      </w:r>
      <w:r w:rsidR="003A444D" w:rsidRPr="00CF0BA9">
        <w:rPr>
          <w:b w:val="0"/>
          <w:i/>
        </w:rPr>
        <w:t>ge matching</w:t>
      </w:r>
    </w:p>
    <w:p w14:paraId="36F98F5F" w14:textId="47AA6383" w:rsidR="000A7166" w:rsidRDefault="00B86577" w:rsidP="00CF0BA9">
      <w:r>
        <w:t>Due to significant age differences between the healthy control (HC) group (M=16.90, SD=2.72) and the recovered anorexia nervosa (</w:t>
      </w:r>
      <w:proofErr w:type="spellStart"/>
      <w:r>
        <w:t>recAN</w:t>
      </w:r>
      <w:proofErr w:type="spellEnd"/>
      <w:r>
        <w:t xml:space="preserve">) group (M=22.57, SD=3.85), as well as an imbalance in sample sizes (HC: N=65; </w:t>
      </w:r>
      <w:proofErr w:type="spellStart"/>
      <w:r>
        <w:t>recAN</w:t>
      </w:r>
      <w:proofErr w:type="spellEnd"/>
      <w:r>
        <w:t xml:space="preserve">: N=35), we applied an age-matching procedure using the </w:t>
      </w:r>
      <w:proofErr w:type="spellStart"/>
      <w:r w:rsidRPr="00CF0BA9">
        <w:rPr>
          <w:i/>
          <w:iCs/>
        </w:rPr>
        <w:t>MatchIt</w:t>
      </w:r>
      <w:proofErr w:type="spellEnd"/>
      <w:r>
        <w:t xml:space="preserve"> package in R to improve group comparability</w:t>
      </w:r>
      <w:r w:rsidR="003A444D">
        <w:t xml:space="preserve">. </w:t>
      </w:r>
      <w:r>
        <w:t xml:space="preserve">Participants were matched in a 1:1 ratio based on age, and intra-pair age differences were calculated by subtracting the age of each HC participant from that of their matched </w:t>
      </w:r>
      <w:proofErr w:type="spellStart"/>
      <w:r>
        <w:t>recAN</w:t>
      </w:r>
      <w:proofErr w:type="spellEnd"/>
      <w:r>
        <w:t xml:space="preserve"> counterpart. </w:t>
      </w:r>
      <w:r w:rsidRPr="00B86577">
        <w:t xml:space="preserve">Following matching, the mean age difference between pairs was 4.51 years, with a maximum difference of 13.10 years. </w:t>
      </w:r>
      <w:r>
        <w:t>The mean age of the HC group increased slightly after matching (M=18.33, SD=2.99), yet a significant residual age difference between the groups remained. Therefore, age was included as a covariate in all subsequent analyses involving these subgroups.</w:t>
      </w:r>
    </w:p>
    <w:p w14:paraId="794A3198" w14:textId="4582AE2D" w:rsidR="00F06668" w:rsidRDefault="00F06668" w:rsidP="00CF0BA9">
      <w:pPr>
        <w:ind w:firstLine="0"/>
        <w:rPr>
          <w:lang w:val="en-US"/>
        </w:rPr>
      </w:pPr>
    </w:p>
    <w:p w14:paraId="498D6658" w14:textId="50C10D91" w:rsidR="003F74F3" w:rsidRDefault="00E442BC" w:rsidP="00CF0BA9">
      <w:pPr>
        <w:pStyle w:val="Heading2"/>
        <w:numPr>
          <w:ilvl w:val="0"/>
          <w:numId w:val="6"/>
        </w:numPr>
      </w:pPr>
      <w:r w:rsidRPr="00CF0BA9">
        <w:t>Results</w:t>
      </w:r>
    </w:p>
    <w:p w14:paraId="3A7B4B20" w14:textId="77777777" w:rsidR="00A51502" w:rsidRDefault="00A51502" w:rsidP="00A51502">
      <w:pPr>
        <w:ind w:firstLine="0"/>
      </w:pPr>
      <w:bookmarkStart w:id="1" w:name="_GoBack"/>
      <w:bookmarkEnd w:id="1"/>
      <w:r>
        <w:t>Participants of both groups (</w:t>
      </w:r>
      <w:proofErr w:type="spellStart"/>
      <w:r>
        <w:t>recAN</w:t>
      </w:r>
      <w:proofErr w:type="spellEnd"/>
      <w:r>
        <w:t>, HC) were further stratified into groups based on oral contraceptive (OC) use, coded as "</w:t>
      </w:r>
      <w:r w:rsidRPr="00A51502">
        <w:rPr>
          <w:vertAlign w:val="superscript"/>
        </w:rPr>
        <w:t>+</w:t>
      </w:r>
      <w:r>
        <w:t>" (OC users) or "</w:t>
      </w:r>
      <w:r w:rsidRPr="000E7356">
        <w:rPr>
          <w:vertAlign w:val="superscript"/>
        </w:rPr>
        <w:sym w:font="Symbol" w:char="F02D"/>
      </w:r>
      <w:r>
        <w:t>" (non-users).</w:t>
      </w:r>
    </w:p>
    <w:p w14:paraId="193251DD" w14:textId="77777777" w:rsidR="00A51502" w:rsidRPr="00A51502" w:rsidRDefault="00A51502" w:rsidP="00A51502"/>
    <w:p w14:paraId="42943AEB" w14:textId="2AF33EE8" w:rsidR="007B1B1C" w:rsidRPr="00A51502" w:rsidRDefault="003F74F3" w:rsidP="00A51502">
      <w:pPr>
        <w:pStyle w:val="Heading2"/>
        <w:numPr>
          <w:ilvl w:val="1"/>
          <w:numId w:val="6"/>
        </w:numPr>
        <w:tabs>
          <w:tab w:val="num" w:pos="-360"/>
        </w:tabs>
        <w:suppressAutoHyphens/>
        <w:spacing w:after="0" w:line="480" w:lineRule="auto"/>
        <w:ind w:left="432" w:hanging="432"/>
        <w:contextualSpacing/>
        <w:jc w:val="both"/>
        <w:rPr>
          <w:rFonts w:cs="Times New Roman"/>
          <w:b w:val="0"/>
          <w:i/>
          <w:iCs w:val="0"/>
          <w:szCs w:val="22"/>
          <w:lang w:val="en-GB"/>
        </w:rPr>
      </w:pPr>
      <w:r w:rsidRPr="00CF0BA9">
        <w:rPr>
          <w:rFonts w:cs="Times New Roman"/>
          <w:b w:val="0"/>
          <w:i/>
          <w:iCs w:val="0"/>
          <w:szCs w:val="22"/>
          <w:lang w:val="en-GB"/>
        </w:rPr>
        <w:t>Demographic, anthropometric and symptom variables</w:t>
      </w:r>
    </w:p>
    <w:p w14:paraId="579DBEC6" w14:textId="320B1186" w:rsidR="00F06668" w:rsidRPr="00CF0BA9" w:rsidRDefault="00EE77EC" w:rsidP="00CF0BA9">
      <w:pPr>
        <w:pStyle w:val="Heading3"/>
        <w:numPr>
          <w:ilvl w:val="2"/>
          <w:numId w:val="6"/>
        </w:numPr>
        <w:ind w:left="709"/>
      </w:pPr>
      <w:r w:rsidRPr="00CF0BA9">
        <w:t>OC</w:t>
      </w:r>
      <w:bookmarkStart w:id="2" w:name="_Hlk211936403"/>
      <w:r w:rsidR="00AF0120" w:rsidRPr="000E7356">
        <w:rPr>
          <w:vertAlign w:val="superscript"/>
        </w:rPr>
        <w:sym w:font="Symbol" w:char="F02D"/>
      </w:r>
      <w:bookmarkEnd w:id="2"/>
      <w:r w:rsidRPr="00CF0BA9">
        <w:t xml:space="preserve"> groups</w:t>
      </w:r>
    </w:p>
    <w:p w14:paraId="712D2892" w14:textId="190E9D64" w:rsidR="00D632A3" w:rsidRDefault="00A11623" w:rsidP="009945EA">
      <w:pPr>
        <w:rPr>
          <w:lang w:val="en-US"/>
        </w:rPr>
        <w:sectPr w:rsidR="00D632A3" w:rsidSect="00D632A3">
          <w:pgSz w:w="11906" w:h="16838"/>
          <w:pgMar w:top="1417" w:right="1417" w:bottom="1134" w:left="1417" w:header="708" w:footer="708" w:gutter="0"/>
          <w:cols w:space="708"/>
          <w:docGrid w:linePitch="360"/>
        </w:sectPr>
      </w:pPr>
      <w:proofErr w:type="spellStart"/>
      <w:r>
        <w:rPr>
          <w:lang w:val="en-US"/>
        </w:rPr>
        <w:t>RecAN</w:t>
      </w:r>
      <w:proofErr w:type="spellEnd"/>
      <w:r w:rsidR="00AF0120" w:rsidRPr="00495EA7">
        <w:rPr>
          <w:vertAlign w:val="superscript"/>
        </w:rPr>
        <w:sym w:font="Symbol" w:char="F02D"/>
      </w:r>
      <w:r>
        <w:rPr>
          <w:lang w:val="en-US"/>
        </w:rPr>
        <w:t xml:space="preserve"> and HC</w:t>
      </w:r>
      <w:r w:rsidR="00AF0120" w:rsidRPr="00495EA7">
        <w:rPr>
          <w:vertAlign w:val="superscript"/>
        </w:rPr>
        <w:sym w:font="Symbol" w:char="F02D"/>
      </w:r>
      <w:r>
        <w:rPr>
          <w:lang w:val="en-US"/>
        </w:rPr>
        <w:t xml:space="preserve"> differed significantly in parameters of psychopathology (BDI-II, EDI-2, SCL-90-R)</w:t>
      </w:r>
      <w:r w:rsidR="00053C2C">
        <w:rPr>
          <w:lang w:val="en-US"/>
        </w:rPr>
        <w:t xml:space="preserve"> (Supplemental Table 1)</w:t>
      </w:r>
      <w:r>
        <w:rPr>
          <w:lang w:val="en-US"/>
        </w:rPr>
        <w:t>. Because of the persistent age differences even after age-matching we conducted ANCOVAs to control for age.</w:t>
      </w:r>
      <w:r w:rsidR="00FA4D99">
        <w:rPr>
          <w:lang w:val="en-US"/>
        </w:rPr>
        <w:t xml:space="preserve"> Differences in psychopathology remained significant</w:t>
      </w:r>
      <w:r w:rsidR="00D632A3">
        <w:rPr>
          <w:lang w:val="en-US"/>
        </w:rPr>
        <w:t>.</w:t>
      </w:r>
    </w:p>
    <w:p w14:paraId="7E55A871" w14:textId="074D7869" w:rsidR="009945EA" w:rsidRPr="000449D6" w:rsidRDefault="009945EA" w:rsidP="00053C2C">
      <w:pPr>
        <w:pStyle w:val="Caption"/>
        <w:keepNext/>
        <w:spacing w:line="360" w:lineRule="auto"/>
        <w:ind w:firstLine="0"/>
      </w:pPr>
      <w:r>
        <w:rPr>
          <w:b/>
        </w:rPr>
        <w:lastRenderedPageBreak/>
        <w:t xml:space="preserve">Supplemental </w:t>
      </w:r>
      <w:r w:rsidRPr="004B6C81">
        <w:rPr>
          <w:b/>
        </w:rPr>
        <w:t>Table</w:t>
      </w:r>
      <w:r>
        <w:rPr>
          <w:b/>
        </w:rPr>
        <w:t xml:space="preserve"> 1</w:t>
      </w:r>
      <w:r w:rsidR="00C93E96">
        <w:rPr>
          <w:b/>
        </w:rPr>
        <w:t>.</w:t>
      </w:r>
      <w:r w:rsidR="000449D6" w:rsidRPr="000449D6">
        <w:t xml:space="preserve"> </w:t>
      </w:r>
      <w:r w:rsidR="000D1980">
        <w:t>OC</w:t>
      </w:r>
      <w:r w:rsidR="000D1980" w:rsidRPr="000E7356">
        <w:rPr>
          <w:vertAlign w:val="superscript"/>
        </w:rPr>
        <w:sym w:font="Symbol" w:char="F02D"/>
      </w:r>
      <w:r w:rsidR="000D1980">
        <w:t xml:space="preserve"> group</w:t>
      </w:r>
      <w:r w:rsidR="00C33A4E">
        <w:t>:</w:t>
      </w:r>
      <w:r w:rsidR="000D1980">
        <w:t xml:space="preserve"> </w:t>
      </w:r>
      <w:r w:rsidR="000449D6">
        <w:t>Parameters of psychopathology.</w:t>
      </w:r>
    </w:p>
    <w:tbl>
      <w:tblPr>
        <w:tblW w:w="4947" w:type="pct"/>
        <w:tblLayout w:type="fixed"/>
        <w:tblLook w:val="0420" w:firstRow="1" w:lastRow="0" w:firstColumn="0" w:lastColumn="0" w:noHBand="0" w:noVBand="1"/>
      </w:tblPr>
      <w:tblGrid>
        <w:gridCol w:w="1435"/>
        <w:gridCol w:w="1119"/>
        <w:gridCol w:w="2267"/>
        <w:gridCol w:w="849"/>
        <w:gridCol w:w="1802"/>
        <w:gridCol w:w="1504"/>
      </w:tblGrid>
      <w:tr w:rsidR="00C25079" w:rsidRPr="003624DD" w14:paraId="0BAC79D3" w14:textId="77777777" w:rsidTr="00C25079">
        <w:trPr>
          <w:trHeight w:val="395"/>
        </w:trPr>
        <w:tc>
          <w:tcPr>
            <w:tcW w:w="799"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A5E822A" w14:textId="77777777" w:rsidR="00C25079" w:rsidRDefault="00C25079" w:rsidP="00EA7E5F">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eastAsia="Times New Roman"/>
                <w:color w:val="000000"/>
              </w:rPr>
            </w:pPr>
          </w:p>
        </w:tc>
        <w:tc>
          <w:tcPr>
            <w:tcW w:w="1886" w:type="pct"/>
            <w:gridSpan w:val="2"/>
            <w:tcBorders>
              <w:top w:val="single" w:sz="4" w:space="0" w:color="000000"/>
              <w:left w:val="none" w:sz="0" w:space="0" w:color="000000"/>
              <w:bottom w:val="single" w:sz="4" w:space="0" w:color="000000"/>
              <w:right w:val="none" w:sz="0" w:space="0" w:color="000000"/>
            </w:tcBorders>
            <w:shd w:val="clear" w:color="auto" w:fill="FFFFFF"/>
            <w:vAlign w:val="center"/>
          </w:tcPr>
          <w:p w14:paraId="09116A91" w14:textId="56FA4AA6"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r>
              <w:rPr>
                <w:i/>
              </w:rPr>
              <w:t>HC</w:t>
            </w:r>
            <w:r w:rsidRPr="00557B9F">
              <w:rPr>
                <w:vertAlign w:val="superscript"/>
              </w:rPr>
              <w:sym w:font="Symbol" w:char="F02D"/>
            </w:r>
          </w:p>
        </w:tc>
        <w:tc>
          <w:tcPr>
            <w:tcW w:w="1477" w:type="pct"/>
            <w:gridSpan w:val="2"/>
            <w:tcBorders>
              <w:top w:val="single" w:sz="4" w:space="0" w:color="000000"/>
              <w:left w:val="none" w:sz="0" w:space="0" w:color="000000"/>
              <w:bottom w:val="single" w:sz="4" w:space="0" w:color="000000"/>
              <w:right w:val="none" w:sz="0" w:space="0" w:color="000000"/>
            </w:tcBorders>
            <w:shd w:val="clear" w:color="auto" w:fill="FFFFFF"/>
            <w:vAlign w:val="center"/>
          </w:tcPr>
          <w:p w14:paraId="3047EF73" w14:textId="38024AC0"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proofErr w:type="spellStart"/>
            <w:r>
              <w:rPr>
                <w:i/>
              </w:rPr>
              <w:t>recAN</w:t>
            </w:r>
            <w:proofErr w:type="spellEnd"/>
            <w:r w:rsidRPr="00557B9F">
              <w:rPr>
                <w:vertAlign w:val="superscript"/>
              </w:rPr>
              <w:sym w:font="Symbol" w:char="F02D"/>
            </w:r>
          </w:p>
        </w:tc>
        <w:tc>
          <w:tcPr>
            <w:tcW w:w="838" w:type="pct"/>
            <w:vMerge w:val="restart"/>
            <w:tcBorders>
              <w:top w:val="single" w:sz="4" w:space="0" w:color="000000"/>
              <w:left w:val="none" w:sz="0" w:space="0" w:color="000000"/>
              <w:right w:val="none" w:sz="0" w:space="0" w:color="000000"/>
            </w:tcBorders>
            <w:shd w:val="clear" w:color="auto" w:fill="FFFFFF"/>
            <w:vAlign w:val="center"/>
          </w:tcPr>
          <w:p w14:paraId="05D3067C" w14:textId="0F5C17BD"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r>
              <w:rPr>
                <w:rFonts w:eastAsia="Times New Roman"/>
                <w:b/>
                <w:i/>
                <w:color w:val="000000"/>
                <w:szCs w:val="24"/>
              </w:rPr>
              <w:t>p</w:t>
            </w:r>
          </w:p>
        </w:tc>
      </w:tr>
      <w:tr w:rsidR="00C25079" w:rsidRPr="003624DD" w14:paraId="14E3CF19" w14:textId="77777777" w:rsidTr="00C25079">
        <w:trPr>
          <w:trHeight w:val="395"/>
        </w:trPr>
        <w:tc>
          <w:tcPr>
            <w:tcW w:w="799"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FD15C5B" w14:textId="77777777" w:rsidR="00C25079" w:rsidRDefault="00C25079" w:rsidP="00EA7E5F">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eastAsia="Times New Roman"/>
                <w:color w:val="000000"/>
              </w:rPr>
            </w:pPr>
          </w:p>
        </w:tc>
        <w:tc>
          <w:tcPr>
            <w:tcW w:w="623" w:type="pct"/>
            <w:tcBorders>
              <w:top w:val="single" w:sz="4" w:space="0" w:color="000000"/>
              <w:left w:val="none" w:sz="0" w:space="0" w:color="000000"/>
              <w:bottom w:val="single" w:sz="4" w:space="0" w:color="000000"/>
              <w:right w:val="none" w:sz="0" w:space="0" w:color="000000"/>
            </w:tcBorders>
            <w:shd w:val="clear" w:color="auto" w:fill="FFFFFF"/>
          </w:tcPr>
          <w:p w14:paraId="61BC635D" w14:textId="3289AFAE" w:rsidR="00C25079" w:rsidRPr="00C25079" w:rsidRDefault="00C25079" w:rsidP="00EA7E5F">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color w:val="000000"/>
                <w:szCs w:val="24"/>
              </w:rPr>
            </w:pPr>
            <w:r w:rsidRPr="00C25079">
              <w:rPr>
                <w:rFonts w:eastAsia="Times New Roman"/>
                <w:b/>
                <w:color w:val="000000"/>
                <w:szCs w:val="24"/>
              </w:rPr>
              <w:t>N</w:t>
            </w:r>
          </w:p>
        </w:tc>
        <w:tc>
          <w:tcPr>
            <w:tcW w:w="1263" w:type="pct"/>
            <w:tcBorders>
              <w:top w:val="single" w:sz="4" w:space="0" w:color="000000"/>
              <w:left w:val="none" w:sz="0" w:space="0" w:color="000000"/>
              <w:bottom w:val="single" w:sz="4" w:space="0" w:color="000000"/>
              <w:right w:val="none" w:sz="0" w:space="0" w:color="000000"/>
            </w:tcBorders>
            <w:shd w:val="clear" w:color="auto" w:fill="FFFFFF"/>
          </w:tcPr>
          <w:p w14:paraId="22CB5A5C" w14:textId="30AEA059" w:rsidR="00C25079" w:rsidRPr="00C25079" w:rsidRDefault="00C25079" w:rsidP="00053C2C">
            <w:pPr>
              <w:pBdr>
                <w:top w:val="none" w:sz="0" w:space="0" w:color="000000"/>
                <w:left w:val="none" w:sz="0" w:space="0" w:color="000000"/>
                <w:bottom w:val="none" w:sz="0" w:space="0" w:color="000000"/>
                <w:right w:val="none" w:sz="0" w:space="0" w:color="000000"/>
              </w:pBdr>
              <w:spacing w:before="100" w:after="100" w:line="360" w:lineRule="auto"/>
              <w:ind w:right="100" w:firstLine="0"/>
              <w:jc w:val="center"/>
              <w:rPr>
                <w:rFonts w:eastAsia="Times New Roman"/>
                <w:b/>
                <w:color w:val="000000"/>
                <w:szCs w:val="24"/>
              </w:rPr>
            </w:pPr>
            <w:r w:rsidRPr="00C25079">
              <w:rPr>
                <w:b/>
              </w:rPr>
              <w:t>Median (IQR)</w:t>
            </w:r>
          </w:p>
        </w:tc>
        <w:tc>
          <w:tcPr>
            <w:tcW w:w="473" w:type="pct"/>
            <w:tcBorders>
              <w:top w:val="single" w:sz="4" w:space="0" w:color="000000"/>
              <w:left w:val="none" w:sz="0" w:space="0" w:color="000000"/>
              <w:bottom w:val="single" w:sz="4" w:space="0" w:color="000000"/>
              <w:right w:val="none" w:sz="0" w:space="0" w:color="000000"/>
            </w:tcBorders>
            <w:shd w:val="clear" w:color="auto" w:fill="FFFFFF"/>
          </w:tcPr>
          <w:p w14:paraId="154D7483" w14:textId="67257BDA" w:rsidR="00C25079" w:rsidRPr="00C25079" w:rsidRDefault="00C25079" w:rsidP="00EA7E5F">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color w:val="000000"/>
                <w:szCs w:val="24"/>
              </w:rPr>
            </w:pPr>
            <w:r w:rsidRPr="00C25079">
              <w:rPr>
                <w:rFonts w:eastAsia="Times New Roman"/>
                <w:b/>
                <w:color w:val="000000"/>
                <w:szCs w:val="24"/>
              </w:rPr>
              <w:t>N</w:t>
            </w:r>
          </w:p>
        </w:tc>
        <w:tc>
          <w:tcPr>
            <w:tcW w:w="1004" w:type="pct"/>
            <w:tcBorders>
              <w:top w:val="single" w:sz="4" w:space="0" w:color="000000"/>
              <w:left w:val="none" w:sz="0" w:space="0" w:color="000000"/>
              <w:bottom w:val="single" w:sz="4" w:space="0" w:color="000000"/>
              <w:right w:val="none" w:sz="0" w:space="0" w:color="000000"/>
            </w:tcBorders>
            <w:shd w:val="clear" w:color="auto" w:fill="FFFFFF"/>
          </w:tcPr>
          <w:p w14:paraId="3DE1EC51" w14:textId="65E34297" w:rsidR="00C25079" w:rsidRPr="00C25079" w:rsidRDefault="00C25079" w:rsidP="00053C2C">
            <w:pPr>
              <w:ind w:firstLine="0"/>
              <w:jc w:val="center"/>
              <w:rPr>
                <w:b/>
                <w:shd w:val="clear" w:color="auto" w:fill="FFFFFF"/>
              </w:rPr>
            </w:pPr>
            <w:r w:rsidRPr="00C25079">
              <w:rPr>
                <w:b/>
              </w:rPr>
              <w:t>Median (IQR)</w:t>
            </w:r>
          </w:p>
        </w:tc>
        <w:tc>
          <w:tcPr>
            <w:tcW w:w="838" w:type="pct"/>
            <w:vMerge/>
            <w:tcBorders>
              <w:left w:val="none" w:sz="0" w:space="0" w:color="000000"/>
              <w:bottom w:val="single" w:sz="4" w:space="0" w:color="000000"/>
              <w:right w:val="none" w:sz="0" w:space="0" w:color="000000"/>
            </w:tcBorders>
            <w:shd w:val="clear" w:color="auto" w:fill="FFFFFF"/>
          </w:tcPr>
          <w:p w14:paraId="7A39C266" w14:textId="264DBD18" w:rsidR="00C25079" w:rsidRPr="003624DD" w:rsidRDefault="00C25079" w:rsidP="00EA7E5F">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p>
        </w:tc>
      </w:tr>
      <w:tr w:rsidR="00C25079" w14:paraId="50263813" w14:textId="77777777" w:rsidTr="00EA7E5F">
        <w:trPr>
          <w:trHeight w:val="551"/>
        </w:trPr>
        <w:tc>
          <w:tcPr>
            <w:tcW w:w="799"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8CB84B" w14:textId="77777777" w:rsidR="00C25079" w:rsidRPr="00645F8F" w:rsidRDefault="00C25079" w:rsidP="00053C2C">
            <w:pPr>
              <w:pBdr>
                <w:top w:val="none" w:sz="0" w:space="0" w:color="000000"/>
                <w:left w:val="none" w:sz="0" w:space="0" w:color="000000"/>
                <w:bottom w:val="none" w:sz="0" w:space="0" w:color="000000"/>
                <w:right w:val="none" w:sz="0" w:space="0" w:color="000000"/>
              </w:pBdr>
              <w:spacing w:before="100" w:after="100" w:line="360" w:lineRule="auto"/>
              <w:ind w:left="100" w:right="100" w:firstLine="42"/>
              <w:rPr>
                <w:rFonts w:eastAsia="Times New Roman"/>
                <w:b/>
                <w:color w:val="000000"/>
              </w:rPr>
            </w:pPr>
            <w:r>
              <w:rPr>
                <w:rFonts w:eastAsia="Times New Roman"/>
                <w:b/>
                <w:color w:val="000000"/>
                <w:szCs w:val="24"/>
              </w:rPr>
              <w:t>BDI-II</w:t>
            </w:r>
          </w:p>
        </w:tc>
        <w:tc>
          <w:tcPr>
            <w:tcW w:w="623" w:type="pct"/>
            <w:tcBorders>
              <w:top w:val="single" w:sz="4" w:space="0" w:color="000000"/>
              <w:left w:val="none" w:sz="0" w:space="0" w:color="000000"/>
              <w:bottom w:val="none" w:sz="0" w:space="0" w:color="000000"/>
              <w:right w:val="none" w:sz="0" w:space="0" w:color="000000"/>
            </w:tcBorders>
            <w:shd w:val="clear" w:color="auto" w:fill="FFFFFF"/>
            <w:vAlign w:val="center"/>
          </w:tcPr>
          <w:p w14:paraId="1F2C0F7A" w14:textId="2BCAC3E4"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t>32</w:t>
            </w:r>
          </w:p>
        </w:tc>
        <w:tc>
          <w:tcPr>
            <w:tcW w:w="1263" w:type="pct"/>
            <w:tcBorders>
              <w:top w:val="single" w:sz="4" w:space="0" w:color="000000"/>
              <w:left w:val="none" w:sz="0" w:space="0" w:color="000000"/>
              <w:bottom w:val="none" w:sz="0" w:space="0" w:color="000000"/>
              <w:right w:val="none" w:sz="0" w:space="0" w:color="000000"/>
            </w:tcBorders>
            <w:shd w:val="clear" w:color="auto" w:fill="FFFFFF"/>
            <w:vAlign w:val="center"/>
          </w:tcPr>
          <w:p w14:paraId="7DBEE34A" w14:textId="1CC9DDC5"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t>3.00 (5.00)</w:t>
            </w:r>
          </w:p>
        </w:tc>
        <w:tc>
          <w:tcPr>
            <w:tcW w:w="473" w:type="pct"/>
            <w:tcBorders>
              <w:top w:val="single" w:sz="4" w:space="0" w:color="000000"/>
              <w:left w:val="none" w:sz="0" w:space="0" w:color="000000"/>
              <w:bottom w:val="none" w:sz="0" w:space="0" w:color="000000"/>
              <w:right w:val="none" w:sz="0" w:space="0" w:color="000000"/>
            </w:tcBorders>
            <w:shd w:val="clear" w:color="auto" w:fill="FFFFFF"/>
          </w:tcPr>
          <w:p w14:paraId="3B022342" w14:textId="43DCE51F"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33</w:t>
            </w:r>
          </w:p>
        </w:tc>
        <w:tc>
          <w:tcPr>
            <w:tcW w:w="1004" w:type="pct"/>
            <w:tcBorders>
              <w:top w:val="single" w:sz="4" w:space="0" w:color="000000"/>
              <w:left w:val="none" w:sz="0" w:space="0" w:color="000000"/>
              <w:bottom w:val="none" w:sz="0" w:space="0" w:color="000000"/>
              <w:right w:val="none" w:sz="0" w:space="0" w:color="000000"/>
            </w:tcBorders>
            <w:shd w:val="clear" w:color="auto" w:fill="FFFFFF"/>
          </w:tcPr>
          <w:p w14:paraId="1DE9FC4B" w14:textId="4501324F"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9 (13.00)</w:t>
            </w:r>
          </w:p>
        </w:tc>
        <w:tc>
          <w:tcPr>
            <w:tcW w:w="838" w:type="pct"/>
            <w:tcBorders>
              <w:top w:val="single" w:sz="4" w:space="0" w:color="000000"/>
              <w:left w:val="none" w:sz="0" w:space="0" w:color="000000"/>
              <w:bottom w:val="none" w:sz="0" w:space="0" w:color="000000"/>
              <w:right w:val="none" w:sz="0" w:space="0" w:color="000000"/>
            </w:tcBorders>
            <w:shd w:val="clear" w:color="auto" w:fill="FFFFFF"/>
          </w:tcPr>
          <w:p w14:paraId="4BA6916F" w14:textId="17FB628D"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.002</w:t>
            </w:r>
            <w:r w:rsidR="00DE1B8D">
              <w:rPr>
                <w:rFonts w:eastAsia="Times New Roman"/>
                <w:color w:val="000000"/>
                <w:szCs w:val="24"/>
              </w:rPr>
              <w:t>**</w:t>
            </w:r>
          </w:p>
        </w:tc>
      </w:tr>
      <w:tr w:rsidR="00C25079" w:rsidRPr="00B2288F" w14:paraId="5BF4EF8D" w14:textId="77777777" w:rsidTr="00EA7E5F">
        <w:trPr>
          <w:trHeight w:val="551"/>
        </w:trPr>
        <w:tc>
          <w:tcPr>
            <w:tcW w:w="79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5420831" w14:textId="77777777" w:rsidR="00C25079" w:rsidRPr="00645F8F" w:rsidRDefault="00C25079" w:rsidP="00053C2C">
            <w:pPr>
              <w:pBdr>
                <w:top w:val="none" w:sz="0" w:space="0" w:color="000000"/>
                <w:left w:val="none" w:sz="0" w:space="0" w:color="000000"/>
                <w:bottom w:val="none" w:sz="0" w:space="0" w:color="000000"/>
                <w:right w:val="none" w:sz="0" w:space="0" w:color="000000"/>
              </w:pBdr>
              <w:spacing w:before="100" w:after="100" w:line="360" w:lineRule="auto"/>
              <w:ind w:left="100" w:right="100" w:firstLine="42"/>
              <w:rPr>
                <w:rFonts w:eastAsia="Times New Roman"/>
                <w:b/>
                <w:color w:val="000000"/>
              </w:rPr>
            </w:pPr>
            <w:r>
              <w:rPr>
                <w:rFonts w:eastAsia="Times New Roman"/>
                <w:b/>
                <w:color w:val="000000"/>
                <w:szCs w:val="24"/>
              </w:rPr>
              <w:t>EDI-2</w:t>
            </w:r>
          </w:p>
        </w:tc>
        <w:tc>
          <w:tcPr>
            <w:tcW w:w="623" w:type="pct"/>
            <w:tcBorders>
              <w:top w:val="none" w:sz="0" w:space="0" w:color="000000"/>
              <w:left w:val="none" w:sz="0" w:space="0" w:color="000000"/>
              <w:right w:val="none" w:sz="0" w:space="0" w:color="000000"/>
            </w:tcBorders>
            <w:shd w:val="clear" w:color="auto" w:fill="FFFFFF"/>
            <w:vAlign w:val="center"/>
          </w:tcPr>
          <w:p w14:paraId="43029B22" w14:textId="074D7D2D"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t>32</w:t>
            </w:r>
          </w:p>
        </w:tc>
        <w:tc>
          <w:tcPr>
            <w:tcW w:w="1263" w:type="pct"/>
            <w:tcBorders>
              <w:top w:val="none" w:sz="0" w:space="0" w:color="000000"/>
              <w:left w:val="none" w:sz="0" w:space="0" w:color="000000"/>
              <w:right w:val="none" w:sz="0" w:space="0" w:color="000000"/>
            </w:tcBorders>
            <w:shd w:val="clear" w:color="auto" w:fill="FFFFFF"/>
            <w:vAlign w:val="center"/>
          </w:tcPr>
          <w:p w14:paraId="0A7B41B6" w14:textId="42C7DA13"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t>134.50 (38.25)</w:t>
            </w:r>
          </w:p>
        </w:tc>
        <w:tc>
          <w:tcPr>
            <w:tcW w:w="473" w:type="pct"/>
            <w:tcBorders>
              <w:top w:val="none" w:sz="0" w:space="0" w:color="000000"/>
              <w:left w:val="none" w:sz="0" w:space="0" w:color="000000"/>
              <w:right w:val="none" w:sz="0" w:space="0" w:color="000000"/>
            </w:tcBorders>
            <w:shd w:val="clear" w:color="auto" w:fill="FFFFFF"/>
          </w:tcPr>
          <w:p w14:paraId="54E22B8D" w14:textId="3345E60A"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34</w:t>
            </w:r>
          </w:p>
        </w:tc>
        <w:tc>
          <w:tcPr>
            <w:tcW w:w="1004" w:type="pct"/>
            <w:tcBorders>
              <w:top w:val="none" w:sz="0" w:space="0" w:color="000000"/>
              <w:left w:val="none" w:sz="0" w:space="0" w:color="000000"/>
              <w:right w:val="none" w:sz="0" w:space="0" w:color="000000"/>
            </w:tcBorders>
            <w:shd w:val="clear" w:color="auto" w:fill="FFFFFF"/>
          </w:tcPr>
          <w:p w14:paraId="40A51239" w14:textId="18C33644"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169.5 (57.41)</w:t>
            </w:r>
          </w:p>
        </w:tc>
        <w:tc>
          <w:tcPr>
            <w:tcW w:w="838" w:type="pct"/>
            <w:tcBorders>
              <w:top w:val="none" w:sz="0" w:space="0" w:color="000000"/>
              <w:left w:val="none" w:sz="0" w:space="0" w:color="000000"/>
              <w:right w:val="none" w:sz="0" w:space="0" w:color="000000"/>
            </w:tcBorders>
            <w:shd w:val="clear" w:color="auto" w:fill="FFFFFF"/>
          </w:tcPr>
          <w:p w14:paraId="08F28C16" w14:textId="5BEC4D86" w:rsidR="00C25079" w:rsidRPr="00B2288F"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&lt;.001</w:t>
            </w:r>
            <w:r w:rsidR="00DE1B8D">
              <w:rPr>
                <w:rFonts w:eastAsia="Times New Roman"/>
                <w:color w:val="000000"/>
                <w:szCs w:val="24"/>
              </w:rPr>
              <w:t>**</w:t>
            </w:r>
          </w:p>
        </w:tc>
      </w:tr>
      <w:tr w:rsidR="00C25079" w:rsidRPr="00B2288F" w14:paraId="4C82BBF3" w14:textId="77777777" w:rsidTr="00EA7E5F">
        <w:trPr>
          <w:trHeight w:val="256"/>
        </w:trPr>
        <w:tc>
          <w:tcPr>
            <w:tcW w:w="799" w:type="pct"/>
            <w:tcBorders>
              <w:bottom w:val="single" w:sz="4" w:space="0" w:color="auto"/>
            </w:tcBorders>
            <w:shd w:val="clear" w:color="auto" w:fill="FFFFFF"/>
            <w:tcMar>
              <w:top w:w="0" w:type="dxa"/>
              <w:left w:w="0" w:type="dxa"/>
              <w:bottom w:w="0" w:type="dxa"/>
              <w:right w:w="0" w:type="dxa"/>
            </w:tcMar>
            <w:vAlign w:val="center"/>
          </w:tcPr>
          <w:p w14:paraId="5E96D099" w14:textId="77777777" w:rsidR="00C25079" w:rsidRPr="00645F8F" w:rsidRDefault="00C25079" w:rsidP="00053C2C">
            <w:pPr>
              <w:pBdr>
                <w:top w:val="none" w:sz="0" w:space="0" w:color="000000"/>
                <w:left w:val="none" w:sz="0" w:space="0" w:color="000000"/>
                <w:bottom w:val="none" w:sz="0" w:space="0" w:color="000000"/>
                <w:right w:val="none" w:sz="0" w:space="0" w:color="000000"/>
              </w:pBdr>
              <w:spacing w:before="100" w:after="100" w:line="360" w:lineRule="auto"/>
              <w:ind w:left="100" w:right="100" w:firstLine="42"/>
              <w:rPr>
                <w:rFonts w:eastAsia="Times New Roman"/>
                <w:b/>
                <w:color w:val="000000"/>
              </w:rPr>
            </w:pPr>
            <w:r>
              <w:rPr>
                <w:rFonts w:eastAsia="Times New Roman"/>
                <w:b/>
                <w:color w:val="000000"/>
                <w:szCs w:val="24"/>
              </w:rPr>
              <w:t>SCL-90-R</w:t>
            </w:r>
          </w:p>
        </w:tc>
        <w:tc>
          <w:tcPr>
            <w:tcW w:w="623" w:type="pct"/>
            <w:tcBorders>
              <w:bottom w:val="single" w:sz="4" w:space="0" w:color="auto"/>
            </w:tcBorders>
            <w:shd w:val="clear" w:color="auto" w:fill="FFFFFF"/>
            <w:vAlign w:val="center"/>
          </w:tcPr>
          <w:p w14:paraId="464DE583" w14:textId="0805E39F"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t>32</w:t>
            </w:r>
          </w:p>
        </w:tc>
        <w:tc>
          <w:tcPr>
            <w:tcW w:w="1263" w:type="pct"/>
            <w:tcBorders>
              <w:bottom w:val="single" w:sz="4" w:space="0" w:color="auto"/>
            </w:tcBorders>
            <w:shd w:val="clear" w:color="auto" w:fill="FFFFFF"/>
            <w:vAlign w:val="center"/>
          </w:tcPr>
          <w:p w14:paraId="1F11C606" w14:textId="64FA00A2"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t>22.50 (22.00)</w:t>
            </w:r>
          </w:p>
        </w:tc>
        <w:tc>
          <w:tcPr>
            <w:tcW w:w="473" w:type="pct"/>
            <w:tcBorders>
              <w:bottom w:val="single" w:sz="4" w:space="0" w:color="auto"/>
            </w:tcBorders>
            <w:shd w:val="clear" w:color="auto" w:fill="FFFFFF"/>
          </w:tcPr>
          <w:p w14:paraId="3521B350" w14:textId="03BFC6B9"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34</w:t>
            </w:r>
          </w:p>
        </w:tc>
        <w:tc>
          <w:tcPr>
            <w:tcW w:w="1004" w:type="pct"/>
            <w:tcBorders>
              <w:bottom w:val="single" w:sz="4" w:space="0" w:color="auto"/>
            </w:tcBorders>
            <w:shd w:val="clear" w:color="auto" w:fill="FFFFFF"/>
          </w:tcPr>
          <w:p w14:paraId="2D567A84" w14:textId="7EA96EEA" w:rsidR="00C25079"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7.1 (4.89)</w:t>
            </w:r>
          </w:p>
        </w:tc>
        <w:tc>
          <w:tcPr>
            <w:tcW w:w="838" w:type="pct"/>
            <w:tcBorders>
              <w:bottom w:val="single" w:sz="4" w:space="0" w:color="auto"/>
            </w:tcBorders>
            <w:shd w:val="clear" w:color="auto" w:fill="FFFFFF"/>
          </w:tcPr>
          <w:p w14:paraId="1F384383" w14:textId="12E9572D" w:rsidR="00C25079" w:rsidRPr="00B2288F" w:rsidRDefault="00C25079" w:rsidP="00C25079">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.035</w:t>
            </w:r>
            <w:r w:rsidR="00DE1B8D">
              <w:rPr>
                <w:rFonts w:eastAsia="Times New Roman"/>
                <w:color w:val="000000"/>
                <w:szCs w:val="24"/>
              </w:rPr>
              <w:t>*</w:t>
            </w:r>
          </w:p>
        </w:tc>
      </w:tr>
    </w:tbl>
    <w:p w14:paraId="4E713E6E" w14:textId="1751178E" w:rsidR="001B02E1" w:rsidRDefault="001B02E1" w:rsidP="00053C2C">
      <w:pPr>
        <w:rPr>
          <w:lang w:val="en-US"/>
        </w:rPr>
      </w:pPr>
      <w:r w:rsidRPr="00D632A3">
        <w:rPr>
          <w:i/>
        </w:rPr>
        <w:t>Not</w:t>
      </w:r>
      <w:r>
        <w:rPr>
          <w:i/>
        </w:rPr>
        <w:t>e.</w:t>
      </w:r>
      <w:r>
        <w:t xml:space="preserve"> </w:t>
      </w:r>
      <w:r w:rsidRPr="00D632A3">
        <w:t>BDI-II=Beck Depression Inventory-II</w:t>
      </w:r>
      <w:r>
        <w:t xml:space="preserve">; </w:t>
      </w:r>
      <w:r w:rsidRPr="00D632A3">
        <w:t xml:space="preserve">EDI-2=Eating Disorder Inventory-2; </w:t>
      </w:r>
      <w:r w:rsidR="00AB45B4">
        <w:t xml:space="preserve">HC=healthy controls; </w:t>
      </w:r>
      <w:proofErr w:type="spellStart"/>
      <w:r w:rsidR="00AB45B4">
        <w:t>recAN</w:t>
      </w:r>
      <w:proofErr w:type="spellEnd"/>
      <w:r w:rsidR="00AB45B4">
        <w:t xml:space="preserve">=long-term recovered anorexia nervosa patients; </w:t>
      </w:r>
      <w:r w:rsidRPr="00D632A3">
        <w:t>SCL-90-R=Symptom Checklist-90-Revised.</w:t>
      </w:r>
      <w:r w:rsidR="00053C2C">
        <w:t xml:space="preserve"> Median (interquartile range) is reported for non-normally distributed parameters.</w:t>
      </w:r>
      <w:r w:rsidR="00C25079">
        <w:t xml:space="preserve"> </w:t>
      </w:r>
      <w:r w:rsidR="00C25079" w:rsidRPr="00C25079">
        <w:t xml:space="preserve">Group comparisons were performed using </w:t>
      </w:r>
      <w:r w:rsidR="00C25079">
        <w:t>ANCOVA with age as a covariate</w:t>
      </w:r>
      <w:r w:rsidR="00C25079" w:rsidRPr="00C25079">
        <w:t xml:space="preserve">. Asterisks indicate statistical significance (two-tailed): </w:t>
      </w:r>
      <w:r w:rsidR="00C25079" w:rsidRPr="00C25079">
        <w:rPr>
          <w:i/>
        </w:rPr>
        <w:t>p</w:t>
      </w:r>
      <w:r w:rsidR="00C25079" w:rsidRPr="00C25079">
        <w:t xml:space="preserve">&lt;.01 (**), </w:t>
      </w:r>
      <w:r w:rsidR="00C25079" w:rsidRPr="00C25079">
        <w:rPr>
          <w:i/>
        </w:rPr>
        <w:t>p</w:t>
      </w:r>
      <w:r w:rsidR="00C25079" w:rsidRPr="00C25079">
        <w:t>&lt;.05 (*).</w:t>
      </w:r>
    </w:p>
    <w:p w14:paraId="574C2918" w14:textId="77777777" w:rsidR="001B02E1" w:rsidRDefault="001B02E1" w:rsidP="00D632A3">
      <w:pPr>
        <w:jc w:val="left"/>
        <w:rPr>
          <w:lang w:val="en-US"/>
        </w:rPr>
      </w:pPr>
    </w:p>
    <w:p w14:paraId="2D7AD469" w14:textId="229157C6" w:rsidR="00D632A3" w:rsidRDefault="00D632A3" w:rsidP="00D632A3">
      <w:pPr>
        <w:ind w:firstLine="0"/>
        <w:rPr>
          <w:lang w:val="en-US"/>
        </w:rPr>
        <w:sectPr w:rsidR="00D632A3" w:rsidSect="00D632A3">
          <w:pgSz w:w="11906" w:h="16838"/>
          <w:pgMar w:top="1417" w:right="1417" w:bottom="1134" w:left="1417" w:header="708" w:footer="708" w:gutter="0"/>
          <w:cols w:space="708"/>
          <w:docGrid w:linePitch="360"/>
        </w:sectPr>
      </w:pPr>
    </w:p>
    <w:p w14:paraId="576EAD9C" w14:textId="6E1FDC91" w:rsidR="00963B0B" w:rsidRDefault="00963B0B" w:rsidP="00CF0BA9">
      <w:pPr>
        <w:pStyle w:val="Heading3"/>
        <w:numPr>
          <w:ilvl w:val="2"/>
          <w:numId w:val="6"/>
        </w:numPr>
        <w:ind w:left="709"/>
      </w:pPr>
      <w:r>
        <w:lastRenderedPageBreak/>
        <w:t>HC groups</w:t>
      </w:r>
    </w:p>
    <w:p w14:paraId="220287FA" w14:textId="575D9C76" w:rsidR="00963B0B" w:rsidRDefault="00963B0B" w:rsidP="00963B0B">
      <w:pPr>
        <w:rPr>
          <w:lang w:val="en-US"/>
        </w:rPr>
      </w:pPr>
      <w:r>
        <w:rPr>
          <w:lang w:val="en-US"/>
        </w:rPr>
        <w:t>HC</w:t>
      </w:r>
      <w:r w:rsidRPr="004D5673">
        <w:rPr>
          <w:vertAlign w:val="superscript"/>
          <w:lang w:val="en-US"/>
        </w:rPr>
        <w:t>+</w:t>
      </w:r>
      <w:r>
        <w:rPr>
          <w:lang w:val="en-US"/>
        </w:rPr>
        <w:t xml:space="preserve"> and HC</w:t>
      </w:r>
      <w:r w:rsidR="00AF0120" w:rsidRPr="004D5673">
        <w:rPr>
          <w:vertAlign w:val="superscript"/>
        </w:rPr>
        <w:sym w:font="Symbol" w:char="F02D"/>
      </w:r>
      <w:r>
        <w:rPr>
          <w:lang w:val="en-US"/>
        </w:rPr>
        <w:t xml:space="preserve"> showed significant differences in parameters of psychopathology (BDI-II, EDI-2, SCL-90-R)</w:t>
      </w:r>
      <w:r w:rsidR="00AA3C00">
        <w:rPr>
          <w:lang w:val="en-US"/>
        </w:rPr>
        <w:t xml:space="preserve"> (Supplemental Table 2)</w:t>
      </w:r>
      <w:r>
        <w:rPr>
          <w:lang w:val="en-US"/>
        </w:rPr>
        <w:t>. Due to the age differences, we conducted additional ANCOVAs for these parameters. After controlling for age, there was no difference in psychopathology between the groups</w:t>
      </w:r>
      <w:r w:rsidR="00AA3C00">
        <w:rPr>
          <w:lang w:val="en-US"/>
        </w:rPr>
        <w:t xml:space="preserve"> (Supplemental Table 3)</w:t>
      </w:r>
      <w:r>
        <w:rPr>
          <w:lang w:val="en-US"/>
        </w:rPr>
        <w:t>.</w:t>
      </w:r>
    </w:p>
    <w:p w14:paraId="6DFA1360" w14:textId="77777777" w:rsidR="00CB7200" w:rsidRPr="00963B0B" w:rsidRDefault="00CB7200" w:rsidP="00963B0B">
      <w:pPr>
        <w:rPr>
          <w:lang w:val="en-US"/>
        </w:rPr>
      </w:pPr>
    </w:p>
    <w:p w14:paraId="0EC59166" w14:textId="3D484963" w:rsidR="00627DBF" w:rsidRDefault="00627DBF" w:rsidP="00CF0BA9">
      <w:pPr>
        <w:pStyle w:val="Caption"/>
        <w:keepNext/>
        <w:spacing w:line="240" w:lineRule="auto"/>
        <w:ind w:firstLine="0"/>
      </w:pPr>
      <w:r>
        <w:rPr>
          <w:b/>
        </w:rPr>
        <w:t xml:space="preserve">Supplemental </w:t>
      </w:r>
      <w:r w:rsidRPr="004B6C81">
        <w:rPr>
          <w:b/>
        </w:rPr>
        <w:t>Table</w:t>
      </w:r>
      <w:r>
        <w:rPr>
          <w:b/>
        </w:rPr>
        <w:t xml:space="preserve"> </w:t>
      </w:r>
      <w:r w:rsidR="00963B0B">
        <w:rPr>
          <w:b/>
        </w:rPr>
        <w:t>2</w:t>
      </w:r>
      <w:r w:rsidRPr="007E29A8">
        <w:t xml:space="preserve">. </w:t>
      </w:r>
      <w:r>
        <w:t xml:space="preserve">HC </w:t>
      </w:r>
      <w:r w:rsidRPr="007E29A8">
        <w:t>groups</w:t>
      </w:r>
      <w:r w:rsidR="00963B0B">
        <w:t xml:space="preserve"> before age-matching</w:t>
      </w:r>
      <w:r w:rsidR="00BC23A2">
        <w:t>:</w:t>
      </w:r>
      <w:r w:rsidRPr="007E29A8">
        <w:t xml:space="preserve"> Demographic and clinical characteristics.</w:t>
      </w:r>
    </w:p>
    <w:tbl>
      <w:tblPr>
        <w:tblW w:w="4900" w:type="pct"/>
        <w:tblLook w:val="0420" w:firstRow="1" w:lastRow="0" w:firstColumn="0" w:lastColumn="0" w:noHBand="0" w:noVBand="1"/>
      </w:tblPr>
      <w:tblGrid>
        <w:gridCol w:w="3517"/>
        <w:gridCol w:w="703"/>
        <w:gridCol w:w="2954"/>
        <w:gridCol w:w="742"/>
        <w:gridCol w:w="3195"/>
        <w:gridCol w:w="2890"/>
      </w:tblGrid>
      <w:tr w:rsidR="00B3282E" w14:paraId="0C44ACEC" w14:textId="77777777" w:rsidTr="00B3282E">
        <w:trPr>
          <w:trHeight w:val="633"/>
        </w:trPr>
        <w:tc>
          <w:tcPr>
            <w:tcW w:w="1256" w:type="pc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133B713" w14:textId="77777777" w:rsidR="00B3282E" w:rsidRDefault="00B3282E">
            <w:pPr>
              <w:spacing w:before="100" w:after="100" w:line="360" w:lineRule="auto"/>
              <w:ind w:left="100" w:right="100"/>
              <w:jc w:val="center"/>
              <w:rPr>
                <w:rFonts w:eastAsia="Times New Roman"/>
                <w:color w:val="000000"/>
              </w:rPr>
            </w:pPr>
          </w:p>
        </w:tc>
        <w:tc>
          <w:tcPr>
            <w:tcW w:w="1306" w:type="pct"/>
            <w:gridSpan w:val="2"/>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hideMark/>
          </w:tcPr>
          <w:p w14:paraId="7803269F" w14:textId="3D699F2A" w:rsidR="00B3282E" w:rsidRDefault="00B3282E">
            <w:pPr>
              <w:spacing w:before="100" w:after="100" w:line="360" w:lineRule="auto"/>
              <w:ind w:left="100" w:right="100" w:firstLine="41"/>
              <w:jc w:val="center"/>
              <w:rPr>
                <w:rFonts w:eastAsia="Times New Roman"/>
                <w:i/>
                <w:color w:val="000000"/>
                <w:szCs w:val="24"/>
              </w:rPr>
            </w:pPr>
            <w:r>
              <w:rPr>
                <w:rFonts w:eastAsia="Times New Roman"/>
                <w:i/>
                <w:color w:val="000000"/>
                <w:szCs w:val="24"/>
              </w:rPr>
              <w:t>HC</w:t>
            </w:r>
            <w:r w:rsidR="00AF0120" w:rsidRPr="000D1980">
              <w:rPr>
                <w:vertAlign w:val="superscript"/>
              </w:rPr>
              <w:sym w:font="Symbol" w:char="F02D"/>
            </w:r>
          </w:p>
        </w:tc>
        <w:tc>
          <w:tcPr>
            <w:tcW w:w="1406" w:type="pct"/>
            <w:gridSpan w:val="2"/>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hideMark/>
          </w:tcPr>
          <w:p w14:paraId="2BED8FFC" w14:textId="77777777" w:rsidR="00B3282E" w:rsidRDefault="00B3282E">
            <w:pPr>
              <w:spacing w:before="100" w:after="100" w:line="360" w:lineRule="auto"/>
              <w:ind w:left="100" w:right="100" w:firstLine="41"/>
              <w:jc w:val="center"/>
              <w:rPr>
                <w:rFonts w:eastAsia="Times New Roman"/>
                <w:i/>
                <w:color w:val="000000"/>
                <w:szCs w:val="24"/>
              </w:rPr>
            </w:pPr>
            <w:r>
              <w:rPr>
                <w:rFonts w:eastAsia="Times New Roman"/>
                <w:i/>
                <w:color w:val="000000"/>
                <w:szCs w:val="24"/>
              </w:rPr>
              <w:t>HC</w:t>
            </w:r>
            <w:r w:rsidRPr="000D1980">
              <w:rPr>
                <w:rFonts w:eastAsia="Times New Roman"/>
                <w:i/>
                <w:color w:val="000000"/>
                <w:szCs w:val="24"/>
                <w:vertAlign w:val="superscript"/>
              </w:rPr>
              <w:t>+</w:t>
            </w:r>
          </w:p>
        </w:tc>
        <w:tc>
          <w:tcPr>
            <w:tcW w:w="1032" w:type="pct"/>
            <w:tcBorders>
              <w:top w:val="single" w:sz="4" w:space="0" w:color="000000"/>
              <w:left w:val="nil"/>
              <w:bottom w:val="single" w:sz="4" w:space="0" w:color="000000"/>
              <w:right w:val="nil"/>
            </w:tcBorders>
            <w:shd w:val="clear" w:color="auto" w:fill="FFFFFF"/>
            <w:hideMark/>
          </w:tcPr>
          <w:p w14:paraId="53B97184" w14:textId="77777777" w:rsidR="00B3282E" w:rsidRDefault="00B3282E">
            <w:pPr>
              <w:spacing w:before="100" w:after="100" w:line="360" w:lineRule="auto"/>
              <w:ind w:left="100" w:right="100" w:firstLine="25"/>
              <w:jc w:val="center"/>
              <w:rPr>
                <w:rFonts w:eastAsia="Times New Roman"/>
                <w:i/>
                <w:color w:val="000000"/>
                <w:szCs w:val="24"/>
              </w:rPr>
            </w:pPr>
            <w:r>
              <w:rPr>
                <w:rFonts w:eastAsia="Times New Roman"/>
                <w:i/>
                <w:color w:val="000000"/>
                <w:szCs w:val="24"/>
              </w:rPr>
              <w:t>Group Comparison</w:t>
            </w:r>
          </w:p>
        </w:tc>
      </w:tr>
      <w:tr w:rsidR="00B3282E" w14:paraId="2AC0C095" w14:textId="77777777" w:rsidTr="00B3282E">
        <w:trPr>
          <w:trHeight w:val="1166"/>
        </w:trPr>
        <w:tc>
          <w:tcPr>
            <w:tcW w:w="1256" w:type="pc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1AA96A7" w14:textId="77777777" w:rsidR="00B3282E" w:rsidRDefault="00B3282E">
            <w:pPr>
              <w:spacing w:before="100" w:after="100" w:line="360" w:lineRule="auto"/>
              <w:ind w:left="100" w:right="100"/>
              <w:jc w:val="center"/>
              <w:rPr>
                <w:rFonts w:eastAsia="Times New Roman"/>
                <w:color w:val="000000"/>
              </w:rPr>
            </w:pPr>
          </w:p>
        </w:tc>
        <w:tc>
          <w:tcPr>
            <w:tcW w:w="251" w:type="pc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hideMark/>
          </w:tcPr>
          <w:p w14:paraId="486251FE" w14:textId="77777777" w:rsidR="00B3282E" w:rsidRDefault="00B3282E">
            <w:pPr>
              <w:spacing w:before="100" w:after="100" w:line="360" w:lineRule="auto"/>
              <w:ind w:left="100" w:right="100" w:firstLine="52"/>
              <w:jc w:val="center"/>
              <w:rPr>
                <w:rFonts w:eastAsia="Times New Roman"/>
                <w:b/>
                <w:color w:val="000000"/>
              </w:rPr>
            </w:pPr>
            <w:r>
              <w:rPr>
                <w:rFonts w:eastAsia="Times New Roman"/>
                <w:b/>
                <w:color w:val="000000"/>
                <w:szCs w:val="24"/>
              </w:rPr>
              <w:t>N</w:t>
            </w:r>
          </w:p>
        </w:tc>
        <w:tc>
          <w:tcPr>
            <w:tcW w:w="1055" w:type="pc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hideMark/>
          </w:tcPr>
          <w:p w14:paraId="7EF0687E" w14:textId="1ABACCC2" w:rsidR="00B3282E" w:rsidRDefault="00B3282E">
            <w:pPr>
              <w:spacing w:before="100" w:after="100" w:line="360" w:lineRule="auto"/>
              <w:ind w:left="100" w:right="100" w:firstLine="41"/>
              <w:jc w:val="center"/>
              <w:rPr>
                <w:b/>
                <w:color w:val="000000"/>
                <w:shd w:val="clear" w:color="auto" w:fill="FFFFFF"/>
              </w:rPr>
            </w:pPr>
            <w:proofErr w:type="spellStart"/>
            <w:r>
              <w:rPr>
                <w:rFonts w:eastAsia="Times New Roman"/>
                <w:b/>
                <w:color w:val="000000"/>
                <w:szCs w:val="24"/>
              </w:rPr>
              <w:t>Mean</w:t>
            </w:r>
            <w:r w:rsidR="006530AE">
              <w:rPr>
                <w:rFonts w:eastAsia="Times New Roman"/>
                <w:b/>
                <w:color w:val="000000"/>
                <w:szCs w:val="24"/>
              </w:rPr>
              <w:t>±</w:t>
            </w:r>
            <w:r>
              <w:rPr>
                <w:b/>
                <w:color w:val="000000"/>
                <w:shd w:val="clear" w:color="auto" w:fill="FFFFFF"/>
              </w:rPr>
              <w:t>SD</w:t>
            </w:r>
            <w:proofErr w:type="spellEnd"/>
          </w:p>
          <w:p w14:paraId="67E5A734" w14:textId="77777777" w:rsidR="00B3282E" w:rsidRDefault="00B3282E">
            <w:pPr>
              <w:spacing w:before="100" w:after="100" w:line="360" w:lineRule="auto"/>
              <w:ind w:left="100" w:right="100" w:firstLine="96"/>
              <w:jc w:val="center"/>
              <w:rPr>
                <w:rFonts w:eastAsia="Times New Roman"/>
                <w:b/>
                <w:color w:val="000000"/>
              </w:rPr>
            </w:pPr>
            <w:r>
              <w:rPr>
                <w:rFonts w:eastAsia="Times New Roman"/>
                <w:b/>
                <w:color w:val="000000"/>
                <w:szCs w:val="24"/>
              </w:rPr>
              <w:t>Median (IQR)</w:t>
            </w:r>
          </w:p>
        </w:tc>
        <w:tc>
          <w:tcPr>
            <w:tcW w:w="265" w:type="pc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hideMark/>
          </w:tcPr>
          <w:p w14:paraId="704C526D" w14:textId="77777777" w:rsidR="00B3282E" w:rsidRDefault="00B3282E">
            <w:pPr>
              <w:spacing w:before="100" w:after="100" w:line="360" w:lineRule="auto"/>
              <w:ind w:left="100" w:right="100" w:firstLine="105"/>
              <w:jc w:val="center"/>
              <w:rPr>
                <w:rFonts w:eastAsia="Times New Roman"/>
                <w:b/>
                <w:color w:val="000000"/>
              </w:rPr>
            </w:pPr>
            <w:r>
              <w:rPr>
                <w:rFonts w:eastAsia="Times New Roman"/>
                <w:b/>
                <w:color w:val="000000"/>
                <w:szCs w:val="24"/>
              </w:rPr>
              <w:t>N</w:t>
            </w:r>
          </w:p>
        </w:tc>
        <w:tc>
          <w:tcPr>
            <w:tcW w:w="1141" w:type="pct"/>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hideMark/>
          </w:tcPr>
          <w:p w14:paraId="3B0305F3" w14:textId="4785CC6E" w:rsidR="00B3282E" w:rsidRDefault="00B3282E">
            <w:pPr>
              <w:spacing w:before="100" w:after="100" w:line="360" w:lineRule="auto"/>
              <w:ind w:left="100" w:right="100" w:firstLine="41"/>
              <w:jc w:val="center"/>
              <w:rPr>
                <w:b/>
                <w:color w:val="000000"/>
                <w:shd w:val="clear" w:color="auto" w:fill="FFFFFF"/>
              </w:rPr>
            </w:pPr>
            <w:proofErr w:type="spellStart"/>
            <w:r>
              <w:rPr>
                <w:rFonts w:eastAsia="Times New Roman"/>
                <w:b/>
                <w:color w:val="000000"/>
                <w:szCs w:val="24"/>
              </w:rPr>
              <w:t>Mean</w:t>
            </w:r>
            <w:r w:rsidR="006530AE">
              <w:rPr>
                <w:rFonts w:eastAsia="Times New Roman"/>
                <w:b/>
                <w:color w:val="000000"/>
                <w:szCs w:val="24"/>
              </w:rPr>
              <w:t>±</w:t>
            </w:r>
            <w:r>
              <w:rPr>
                <w:b/>
                <w:color w:val="000000"/>
                <w:shd w:val="clear" w:color="auto" w:fill="FFFFFF"/>
              </w:rPr>
              <w:t>SD</w:t>
            </w:r>
            <w:proofErr w:type="spellEnd"/>
          </w:p>
          <w:p w14:paraId="7E0819E9" w14:textId="77777777" w:rsidR="00B3282E" w:rsidRDefault="00B3282E">
            <w:pPr>
              <w:spacing w:before="100" w:after="100" w:line="360" w:lineRule="auto"/>
              <w:ind w:left="100" w:right="100" w:firstLine="28"/>
              <w:jc w:val="center"/>
              <w:rPr>
                <w:rFonts w:eastAsia="Times New Roman"/>
                <w:b/>
                <w:color w:val="000000"/>
              </w:rPr>
            </w:pPr>
            <w:r>
              <w:rPr>
                <w:rFonts w:eastAsia="Times New Roman"/>
                <w:b/>
                <w:color w:val="000000"/>
                <w:szCs w:val="24"/>
              </w:rPr>
              <w:t>Median (IQR)</w:t>
            </w:r>
          </w:p>
        </w:tc>
        <w:tc>
          <w:tcPr>
            <w:tcW w:w="1032" w:type="pct"/>
            <w:tcBorders>
              <w:top w:val="single" w:sz="4" w:space="0" w:color="000000"/>
              <w:left w:val="nil"/>
              <w:bottom w:val="single" w:sz="4" w:space="0" w:color="000000"/>
              <w:right w:val="nil"/>
            </w:tcBorders>
            <w:shd w:val="clear" w:color="auto" w:fill="FFFFFF"/>
            <w:hideMark/>
          </w:tcPr>
          <w:p w14:paraId="17D6E94C" w14:textId="566C57C3" w:rsidR="00B3282E" w:rsidRDefault="00FA4D99">
            <w:pPr>
              <w:spacing w:before="100" w:after="100" w:line="360" w:lineRule="auto"/>
              <w:ind w:left="100" w:right="100" w:firstLine="25"/>
              <w:jc w:val="center"/>
              <w:rPr>
                <w:rFonts w:eastAsia="Times New Roman"/>
                <w:color w:val="000000"/>
                <w:szCs w:val="24"/>
              </w:rPr>
            </w:pPr>
            <w:r w:rsidRPr="004D5673">
              <w:rPr>
                <w:rFonts w:eastAsia="Times New Roman"/>
                <w:b/>
                <w:iCs/>
                <w:color w:val="000000"/>
                <w:szCs w:val="24"/>
              </w:rPr>
              <w:t>Uncorrected</w:t>
            </w:r>
            <w:r>
              <w:rPr>
                <w:rFonts w:eastAsia="Times New Roman"/>
                <w:b/>
                <w:i/>
                <w:color w:val="000000"/>
                <w:szCs w:val="24"/>
              </w:rPr>
              <w:t xml:space="preserve"> p</w:t>
            </w:r>
            <w:r w:rsidR="00B3282E">
              <w:rPr>
                <w:rFonts w:eastAsia="Times New Roman"/>
                <w:b/>
                <w:color w:val="000000"/>
                <w:szCs w:val="24"/>
              </w:rPr>
              <w:t>-value</w:t>
            </w:r>
            <w:r>
              <w:rPr>
                <w:rFonts w:eastAsia="Times New Roman"/>
                <w:b/>
                <w:color w:val="000000"/>
                <w:szCs w:val="24"/>
              </w:rPr>
              <w:t xml:space="preserve"> </w:t>
            </w:r>
          </w:p>
        </w:tc>
      </w:tr>
      <w:tr w:rsidR="00B3282E" w14:paraId="7E76EC98" w14:textId="77777777" w:rsidTr="00B3282E">
        <w:trPr>
          <w:trHeight w:val="633"/>
        </w:trPr>
        <w:tc>
          <w:tcPr>
            <w:tcW w:w="1256" w:type="pct"/>
            <w:tcBorders>
              <w:top w:val="single" w:sz="4" w:space="0" w:color="000000"/>
              <w:left w:val="nil"/>
              <w:bottom w:val="nil"/>
              <w:right w:val="nil"/>
            </w:tcBorders>
            <w:shd w:val="clear" w:color="auto" w:fill="FFFFFF"/>
            <w:tcMar>
              <w:top w:w="0" w:type="dxa"/>
              <w:left w:w="0" w:type="dxa"/>
              <w:bottom w:w="0" w:type="dxa"/>
              <w:right w:w="0" w:type="dxa"/>
            </w:tcMar>
            <w:vAlign w:val="center"/>
            <w:hideMark/>
          </w:tcPr>
          <w:p w14:paraId="3FA8E1E8"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Age</w:t>
            </w:r>
          </w:p>
        </w:tc>
        <w:tc>
          <w:tcPr>
            <w:tcW w:w="251" w:type="pct"/>
            <w:tcBorders>
              <w:top w:val="single" w:sz="4" w:space="0" w:color="000000"/>
              <w:left w:val="nil"/>
              <w:bottom w:val="nil"/>
              <w:right w:val="nil"/>
            </w:tcBorders>
            <w:shd w:val="clear" w:color="auto" w:fill="FFFFFF"/>
            <w:tcMar>
              <w:top w:w="0" w:type="dxa"/>
              <w:left w:w="0" w:type="dxa"/>
              <w:bottom w:w="0" w:type="dxa"/>
              <w:right w:w="0" w:type="dxa"/>
            </w:tcMar>
            <w:vAlign w:val="center"/>
            <w:hideMark/>
          </w:tcPr>
          <w:p w14:paraId="4CEF4996"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65</w:t>
            </w:r>
          </w:p>
        </w:tc>
        <w:tc>
          <w:tcPr>
            <w:tcW w:w="1055" w:type="pct"/>
            <w:tcBorders>
              <w:top w:val="single" w:sz="4" w:space="0" w:color="000000"/>
              <w:left w:val="nil"/>
              <w:bottom w:val="nil"/>
              <w:right w:val="nil"/>
            </w:tcBorders>
            <w:shd w:val="clear" w:color="auto" w:fill="FFFFFF"/>
            <w:tcMar>
              <w:top w:w="0" w:type="dxa"/>
              <w:left w:w="0" w:type="dxa"/>
              <w:bottom w:w="0" w:type="dxa"/>
              <w:right w:w="0" w:type="dxa"/>
            </w:tcMar>
            <w:vAlign w:val="center"/>
            <w:hideMark/>
          </w:tcPr>
          <w:p w14:paraId="12E6E433" w14:textId="45BA3E8A"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16.3</w:t>
            </w:r>
            <w:r w:rsidR="00AA3C00">
              <w:rPr>
                <w:rFonts w:eastAsia="Times New Roman"/>
                <w:color w:val="000000"/>
              </w:rPr>
              <w:t>0</w:t>
            </w:r>
            <w:r>
              <w:rPr>
                <w:rFonts w:eastAsia="Times New Roman"/>
                <w:color w:val="000000"/>
              </w:rPr>
              <w:t xml:space="preserve"> (2.2</w:t>
            </w:r>
            <w:r w:rsidR="00AA3C00">
              <w:rPr>
                <w:rFonts w:eastAsia="Times New Roman"/>
                <w:color w:val="000000"/>
              </w:rPr>
              <w:t>0</w:t>
            </w:r>
            <w:r>
              <w:rPr>
                <w:rFonts w:eastAsia="Times New Roman"/>
                <w:color w:val="000000"/>
              </w:rPr>
              <w:t>)</w:t>
            </w:r>
          </w:p>
        </w:tc>
        <w:tc>
          <w:tcPr>
            <w:tcW w:w="265" w:type="pct"/>
            <w:tcBorders>
              <w:top w:val="single" w:sz="4" w:space="0" w:color="000000"/>
              <w:left w:val="nil"/>
              <w:bottom w:val="nil"/>
              <w:right w:val="nil"/>
            </w:tcBorders>
            <w:shd w:val="clear" w:color="auto" w:fill="FFFFFF"/>
            <w:tcMar>
              <w:top w:w="0" w:type="dxa"/>
              <w:left w:w="0" w:type="dxa"/>
              <w:bottom w:w="0" w:type="dxa"/>
              <w:right w:w="0" w:type="dxa"/>
            </w:tcMar>
            <w:vAlign w:val="center"/>
            <w:hideMark/>
          </w:tcPr>
          <w:p w14:paraId="3ECD30CD"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35</w:t>
            </w:r>
          </w:p>
        </w:tc>
        <w:tc>
          <w:tcPr>
            <w:tcW w:w="1141" w:type="pct"/>
            <w:tcBorders>
              <w:top w:val="single" w:sz="4" w:space="0" w:color="000000"/>
              <w:left w:val="nil"/>
              <w:bottom w:val="nil"/>
              <w:right w:val="nil"/>
            </w:tcBorders>
            <w:shd w:val="clear" w:color="auto" w:fill="FFFFFF"/>
            <w:tcMar>
              <w:top w:w="0" w:type="dxa"/>
              <w:left w:w="0" w:type="dxa"/>
              <w:bottom w:w="0" w:type="dxa"/>
              <w:right w:w="0" w:type="dxa"/>
            </w:tcMar>
            <w:vAlign w:val="center"/>
            <w:hideMark/>
          </w:tcPr>
          <w:p w14:paraId="60D5EBC2" w14:textId="342A9BF1"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22.9</w:t>
            </w:r>
            <w:r w:rsidR="00AA3C00">
              <w:rPr>
                <w:rFonts w:eastAsia="Times New Roman"/>
                <w:color w:val="000000"/>
              </w:rPr>
              <w:t>0</w:t>
            </w:r>
            <w:r>
              <w:rPr>
                <w:rFonts w:eastAsia="Times New Roman"/>
                <w:color w:val="000000"/>
              </w:rPr>
              <w:t xml:space="preserve"> (4.45)</w:t>
            </w:r>
          </w:p>
        </w:tc>
        <w:tc>
          <w:tcPr>
            <w:tcW w:w="1032" w:type="pct"/>
            <w:tcBorders>
              <w:top w:val="single" w:sz="4" w:space="0" w:color="000000"/>
              <w:left w:val="nil"/>
              <w:bottom w:val="nil"/>
              <w:right w:val="nil"/>
            </w:tcBorders>
            <w:shd w:val="clear" w:color="auto" w:fill="FFFFFF"/>
            <w:vAlign w:val="center"/>
            <w:hideMark/>
          </w:tcPr>
          <w:p w14:paraId="09C24FAA"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&lt;.001**</w:t>
            </w:r>
          </w:p>
        </w:tc>
      </w:tr>
      <w:tr w:rsidR="00B3282E" w14:paraId="4142D7D8" w14:textId="77777777" w:rsidTr="00B3282E">
        <w:trPr>
          <w:trHeight w:val="633"/>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335F7A22"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BMI (</w:t>
            </w:r>
            <w:r>
              <w:rPr>
                <w:b/>
              </w:rPr>
              <w:t>kg/m</w:t>
            </w:r>
            <w:r>
              <w:rPr>
                <w:b/>
                <w:vertAlign w:val="superscript"/>
              </w:rPr>
              <w:t>2</w:t>
            </w:r>
            <w:r>
              <w:rPr>
                <w:b/>
              </w:rPr>
              <w:t>)</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70DD2804"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65</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6F550E19" w14:textId="7AD6DA3B"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21.0</w:t>
            </w:r>
            <w:r w:rsidR="00AA3C00">
              <w:rPr>
                <w:rFonts w:eastAsia="Times New Roman"/>
                <w:color w:val="000000"/>
              </w:rPr>
              <w:t>0</w:t>
            </w:r>
            <w:r w:rsidR="006530AE">
              <w:rPr>
                <w:rFonts w:eastAsia="Times New Roman"/>
                <w:color w:val="000000"/>
              </w:rPr>
              <w:t>±</w:t>
            </w:r>
            <w:r>
              <w:rPr>
                <w:color w:val="000000"/>
                <w:shd w:val="clear" w:color="auto" w:fill="FFFFFF"/>
              </w:rPr>
              <w:t>2.14</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2D0ABD9C"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35</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1018CC23" w14:textId="6403ED9A" w:rsidR="00B3282E" w:rsidRDefault="00B3282E">
            <w:pPr>
              <w:spacing w:before="100" w:after="100" w:line="360" w:lineRule="auto"/>
              <w:ind w:left="100" w:right="100" w:firstLine="28"/>
              <w:jc w:val="center"/>
              <w:rPr>
                <w:color w:val="000000"/>
                <w:shd w:val="clear" w:color="auto" w:fill="FFFFFF"/>
              </w:rPr>
            </w:pPr>
            <w:r>
              <w:rPr>
                <w:color w:val="000000"/>
                <w:shd w:val="clear" w:color="auto" w:fill="FFFFFF"/>
              </w:rPr>
              <w:t>21.92</w:t>
            </w:r>
            <w:r w:rsidR="006530AE">
              <w:rPr>
                <w:color w:val="000000"/>
                <w:shd w:val="clear" w:color="auto" w:fill="FFFFFF"/>
              </w:rPr>
              <w:t>±</w:t>
            </w:r>
            <w:r>
              <w:rPr>
                <w:color w:val="000000"/>
                <w:shd w:val="clear" w:color="auto" w:fill="FFFFFF"/>
              </w:rPr>
              <w:t>2.43</w:t>
            </w:r>
          </w:p>
        </w:tc>
        <w:tc>
          <w:tcPr>
            <w:tcW w:w="1032" w:type="pct"/>
            <w:tcBorders>
              <w:top w:val="nil"/>
              <w:left w:val="nil"/>
              <w:bottom w:val="nil"/>
              <w:right w:val="nil"/>
            </w:tcBorders>
            <w:shd w:val="clear" w:color="auto" w:fill="FFFFFF"/>
            <w:vAlign w:val="center"/>
            <w:hideMark/>
          </w:tcPr>
          <w:p w14:paraId="225C129D"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.064</w:t>
            </w:r>
          </w:p>
        </w:tc>
      </w:tr>
      <w:tr w:rsidR="00B3282E" w14:paraId="315AFF50" w14:textId="77777777" w:rsidTr="00B3282E">
        <w:trPr>
          <w:trHeight w:val="68"/>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3C5F45E5"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BMI-SDS</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2E094686"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65</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34E33E79" w14:textId="10D24C63"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0.0</w:t>
            </w:r>
            <w:r w:rsidR="00AA3C00">
              <w:rPr>
                <w:rFonts w:eastAsia="Times New Roman"/>
                <w:color w:val="000000"/>
              </w:rPr>
              <w:t>0</w:t>
            </w:r>
            <w:r w:rsidR="006530AE">
              <w:rPr>
                <w:rFonts w:eastAsia="Times New Roman"/>
                <w:color w:val="000000"/>
              </w:rPr>
              <w:t>±</w:t>
            </w:r>
            <w:r>
              <w:rPr>
                <w:color w:val="000000"/>
                <w:shd w:val="clear" w:color="auto" w:fill="FFFFFF"/>
              </w:rPr>
              <w:t>0.74</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0CE07FDA"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35</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1B958425" w14:textId="36D64467"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-0.18</w:t>
            </w:r>
            <w:r w:rsidR="006530AE">
              <w:rPr>
                <w:rFonts w:eastAsia="Times New Roman"/>
                <w:color w:val="000000"/>
              </w:rPr>
              <w:t>±</w:t>
            </w:r>
            <w:r>
              <w:rPr>
                <w:color w:val="000000"/>
                <w:shd w:val="clear" w:color="auto" w:fill="FFFFFF"/>
              </w:rPr>
              <w:t>0.68</w:t>
            </w:r>
          </w:p>
        </w:tc>
        <w:tc>
          <w:tcPr>
            <w:tcW w:w="1032" w:type="pct"/>
            <w:tcBorders>
              <w:top w:val="nil"/>
              <w:left w:val="nil"/>
              <w:bottom w:val="nil"/>
              <w:right w:val="nil"/>
            </w:tcBorders>
            <w:shd w:val="clear" w:color="auto" w:fill="FFFFFF"/>
            <w:vAlign w:val="center"/>
            <w:hideMark/>
          </w:tcPr>
          <w:p w14:paraId="51FB50E3"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.240</w:t>
            </w:r>
          </w:p>
        </w:tc>
      </w:tr>
      <w:tr w:rsidR="00B3282E" w14:paraId="29D6215A" w14:textId="77777777" w:rsidTr="00B3282E">
        <w:trPr>
          <w:trHeight w:val="310"/>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0B017AA8"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Minimal Lifetime BMI (</w:t>
            </w:r>
            <w:r>
              <w:rPr>
                <w:b/>
              </w:rPr>
              <w:t>kg/m</w:t>
            </w:r>
            <w:r>
              <w:rPr>
                <w:b/>
                <w:vertAlign w:val="superscript"/>
              </w:rPr>
              <w:t>2</w:t>
            </w:r>
            <w:r>
              <w:rPr>
                <w:b/>
              </w:rPr>
              <w:t>)</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52CB234C"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56</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5615F127" w14:textId="21356391"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20.18</w:t>
            </w:r>
            <w:r w:rsidR="006530AE">
              <w:rPr>
                <w:rFonts w:eastAsia="Times New Roman"/>
                <w:color w:val="000000"/>
              </w:rPr>
              <w:t>±</w:t>
            </w:r>
            <w:r>
              <w:rPr>
                <w:color w:val="000000"/>
                <w:shd w:val="clear" w:color="auto" w:fill="FFFFFF"/>
              </w:rPr>
              <w:t>1.85</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22D13724"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33</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4F3D2EFA" w14:textId="6D51D62E"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20.11</w:t>
            </w:r>
            <w:r w:rsidR="006530AE">
              <w:rPr>
                <w:rFonts w:eastAsia="Times New Roman"/>
                <w:color w:val="000000"/>
              </w:rPr>
              <w:t>±</w:t>
            </w:r>
            <w:r>
              <w:rPr>
                <w:color w:val="000000"/>
                <w:shd w:val="clear" w:color="auto" w:fill="FFFFFF"/>
              </w:rPr>
              <w:t>1.68</w:t>
            </w:r>
          </w:p>
        </w:tc>
        <w:tc>
          <w:tcPr>
            <w:tcW w:w="1032" w:type="pct"/>
            <w:tcBorders>
              <w:top w:val="nil"/>
              <w:left w:val="nil"/>
              <w:bottom w:val="nil"/>
              <w:right w:val="nil"/>
            </w:tcBorders>
            <w:shd w:val="clear" w:color="auto" w:fill="FFFFFF"/>
            <w:vAlign w:val="center"/>
            <w:hideMark/>
          </w:tcPr>
          <w:p w14:paraId="794010EC"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.837</w:t>
            </w:r>
          </w:p>
        </w:tc>
      </w:tr>
      <w:tr w:rsidR="00B3282E" w14:paraId="017A472C" w14:textId="77777777" w:rsidTr="00B3282E">
        <w:trPr>
          <w:trHeight w:val="633"/>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16CA37AA"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IQ</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66C6308C"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64</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5C41691D" w14:textId="5032F4BC"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112.03</w:t>
            </w:r>
            <w:r w:rsidR="006530AE">
              <w:rPr>
                <w:rFonts w:eastAsia="Times New Roman"/>
                <w:color w:val="000000"/>
              </w:rPr>
              <w:t>±</w:t>
            </w:r>
            <w:r>
              <w:rPr>
                <w:color w:val="000000"/>
                <w:shd w:val="clear" w:color="auto" w:fill="FFFFFF"/>
              </w:rPr>
              <w:t>9.94</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546A59D9"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35</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0F05AB48" w14:textId="34F3F081"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110.23</w:t>
            </w:r>
            <w:r w:rsidR="006530AE">
              <w:rPr>
                <w:rFonts w:eastAsia="Times New Roman"/>
                <w:color w:val="000000"/>
              </w:rPr>
              <w:t>±</w:t>
            </w:r>
            <w:r>
              <w:rPr>
                <w:color w:val="000000"/>
                <w:shd w:val="clear" w:color="auto" w:fill="FFFFFF"/>
              </w:rPr>
              <w:t>9.56</w:t>
            </w:r>
          </w:p>
        </w:tc>
        <w:tc>
          <w:tcPr>
            <w:tcW w:w="1032" w:type="pct"/>
            <w:tcBorders>
              <w:top w:val="nil"/>
              <w:left w:val="nil"/>
              <w:bottom w:val="nil"/>
              <w:right w:val="nil"/>
            </w:tcBorders>
            <w:shd w:val="clear" w:color="auto" w:fill="FFFFFF"/>
            <w:vAlign w:val="center"/>
            <w:hideMark/>
          </w:tcPr>
          <w:p w14:paraId="6788ADA3"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.379</w:t>
            </w:r>
          </w:p>
        </w:tc>
      </w:tr>
      <w:tr w:rsidR="00B3282E" w14:paraId="71F071DE" w14:textId="77777777" w:rsidTr="00B3282E">
        <w:trPr>
          <w:trHeight w:val="294"/>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4B090740"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BDI-II</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3467F8CB"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61</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13C0612F" w14:textId="55588BB3"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4</w:t>
            </w:r>
            <w:r w:rsidR="00AA3C00">
              <w:rPr>
                <w:rFonts w:eastAsia="Times New Roman"/>
                <w:color w:val="000000"/>
              </w:rPr>
              <w:t>.00</w:t>
            </w:r>
            <w:r>
              <w:rPr>
                <w:rFonts w:eastAsia="Times New Roman"/>
                <w:color w:val="000000"/>
              </w:rPr>
              <w:t xml:space="preserve"> (6</w:t>
            </w:r>
            <w:r w:rsidR="00AA3C00">
              <w:rPr>
                <w:rFonts w:eastAsia="Times New Roman"/>
                <w:color w:val="000000"/>
              </w:rPr>
              <w:t>.00</w:t>
            </w:r>
            <w:r>
              <w:rPr>
                <w:rFonts w:eastAsia="Times New Roman"/>
                <w:color w:val="000000"/>
              </w:rPr>
              <w:t>)</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565D0EF5"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29</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4B13A066" w14:textId="20889E38"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1</w:t>
            </w:r>
            <w:r w:rsidR="00AA3C00">
              <w:rPr>
                <w:rFonts w:eastAsia="Times New Roman"/>
                <w:color w:val="000000"/>
              </w:rPr>
              <w:t>.00</w:t>
            </w:r>
            <w:r>
              <w:rPr>
                <w:rFonts w:eastAsia="Times New Roman"/>
                <w:color w:val="000000"/>
              </w:rPr>
              <w:t xml:space="preserve"> (3</w:t>
            </w:r>
            <w:r w:rsidR="00AA3C00">
              <w:rPr>
                <w:rFonts w:eastAsia="Times New Roman"/>
                <w:color w:val="000000"/>
              </w:rPr>
              <w:t>.00</w:t>
            </w:r>
            <w:r>
              <w:rPr>
                <w:rFonts w:eastAsia="Times New Roman"/>
                <w:color w:val="000000"/>
              </w:rPr>
              <w:t>)</w:t>
            </w:r>
          </w:p>
        </w:tc>
        <w:tc>
          <w:tcPr>
            <w:tcW w:w="1032" w:type="pct"/>
            <w:tcBorders>
              <w:top w:val="nil"/>
              <w:left w:val="nil"/>
              <w:bottom w:val="nil"/>
              <w:right w:val="nil"/>
            </w:tcBorders>
            <w:shd w:val="clear" w:color="auto" w:fill="FFFFFF"/>
            <w:vAlign w:val="center"/>
            <w:hideMark/>
          </w:tcPr>
          <w:p w14:paraId="4AFD4943"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.001**</w:t>
            </w:r>
          </w:p>
        </w:tc>
      </w:tr>
      <w:tr w:rsidR="00B3282E" w14:paraId="6C04E112" w14:textId="77777777" w:rsidTr="00B3282E">
        <w:trPr>
          <w:trHeight w:val="246"/>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304D4C62"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lastRenderedPageBreak/>
              <w:t>EDI-2</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20781376"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61</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398F50C3" w14:textId="3FD90834"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141</w:t>
            </w:r>
            <w:r w:rsidR="00AA3C00">
              <w:rPr>
                <w:rFonts w:eastAsia="Times New Roman"/>
                <w:color w:val="000000"/>
              </w:rPr>
              <w:t>.00</w:t>
            </w:r>
            <w:r>
              <w:rPr>
                <w:rFonts w:eastAsia="Times New Roman"/>
                <w:color w:val="000000"/>
              </w:rPr>
              <w:t xml:space="preserve"> (41</w:t>
            </w:r>
            <w:r w:rsidR="00AA3C00">
              <w:rPr>
                <w:rFonts w:eastAsia="Times New Roman"/>
                <w:color w:val="000000"/>
              </w:rPr>
              <w:t>.00</w:t>
            </w:r>
            <w:r>
              <w:rPr>
                <w:rFonts w:eastAsia="Times New Roman"/>
                <w:color w:val="000000"/>
              </w:rPr>
              <w:t>)</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4A1A19D6"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28</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665E0E24" w14:textId="77777777" w:rsidR="00B3282E" w:rsidRDefault="00B3282E">
            <w:pPr>
              <w:spacing w:before="100" w:after="100" w:line="360" w:lineRule="auto"/>
              <w:ind w:left="100" w:right="100" w:firstLine="28"/>
              <w:jc w:val="center"/>
              <w:rPr>
                <w:rFonts w:eastAsia="Times New Roman"/>
                <w:color w:val="000000"/>
                <w:sz w:val="26"/>
              </w:rPr>
            </w:pPr>
            <w:r>
              <w:rPr>
                <w:rFonts w:eastAsia="Times New Roman"/>
                <w:color w:val="000000"/>
              </w:rPr>
              <w:t>124.5 (22.74</w:t>
            </w:r>
            <w:r>
              <w:rPr>
                <w:rFonts w:eastAsia="Times New Roman"/>
                <w:color w:val="000000"/>
                <w:sz w:val="26"/>
              </w:rPr>
              <w:t>)</w:t>
            </w:r>
          </w:p>
        </w:tc>
        <w:tc>
          <w:tcPr>
            <w:tcW w:w="1032" w:type="pct"/>
            <w:tcBorders>
              <w:top w:val="nil"/>
              <w:left w:val="nil"/>
              <w:bottom w:val="nil"/>
              <w:right w:val="nil"/>
            </w:tcBorders>
            <w:shd w:val="clear" w:color="auto" w:fill="FFFFFF"/>
            <w:vAlign w:val="center"/>
            <w:hideMark/>
          </w:tcPr>
          <w:p w14:paraId="41516E65"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.015*</w:t>
            </w:r>
          </w:p>
        </w:tc>
      </w:tr>
      <w:tr w:rsidR="00B3282E" w14:paraId="4051EA76" w14:textId="77777777" w:rsidTr="00B3282E">
        <w:trPr>
          <w:trHeight w:val="354"/>
        </w:trPr>
        <w:tc>
          <w:tcPr>
            <w:tcW w:w="1256" w:type="pct"/>
            <w:tcBorders>
              <w:top w:val="nil"/>
              <w:left w:val="nil"/>
              <w:bottom w:val="nil"/>
              <w:right w:val="nil"/>
            </w:tcBorders>
            <w:shd w:val="clear" w:color="auto" w:fill="FFFFFF"/>
            <w:tcMar>
              <w:top w:w="0" w:type="dxa"/>
              <w:left w:w="0" w:type="dxa"/>
              <w:bottom w:w="0" w:type="dxa"/>
              <w:right w:w="0" w:type="dxa"/>
            </w:tcMar>
            <w:vAlign w:val="center"/>
            <w:hideMark/>
          </w:tcPr>
          <w:p w14:paraId="123B5B37"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SCL-90-R</w:t>
            </w:r>
          </w:p>
        </w:tc>
        <w:tc>
          <w:tcPr>
            <w:tcW w:w="251" w:type="pct"/>
            <w:tcBorders>
              <w:top w:val="nil"/>
              <w:left w:val="nil"/>
              <w:bottom w:val="nil"/>
              <w:right w:val="nil"/>
            </w:tcBorders>
            <w:shd w:val="clear" w:color="auto" w:fill="FFFFFF"/>
            <w:tcMar>
              <w:top w:w="0" w:type="dxa"/>
              <w:left w:w="0" w:type="dxa"/>
              <w:bottom w:w="0" w:type="dxa"/>
              <w:right w:w="0" w:type="dxa"/>
            </w:tcMar>
            <w:vAlign w:val="center"/>
            <w:hideMark/>
          </w:tcPr>
          <w:p w14:paraId="0A270136"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61</w:t>
            </w:r>
          </w:p>
        </w:tc>
        <w:tc>
          <w:tcPr>
            <w:tcW w:w="1055" w:type="pct"/>
            <w:tcBorders>
              <w:top w:val="nil"/>
              <w:left w:val="nil"/>
              <w:bottom w:val="nil"/>
              <w:right w:val="nil"/>
            </w:tcBorders>
            <w:shd w:val="clear" w:color="auto" w:fill="FFFFFF"/>
            <w:tcMar>
              <w:top w:w="0" w:type="dxa"/>
              <w:left w:w="0" w:type="dxa"/>
              <w:bottom w:w="0" w:type="dxa"/>
              <w:right w:w="0" w:type="dxa"/>
            </w:tcMar>
            <w:vAlign w:val="center"/>
            <w:hideMark/>
          </w:tcPr>
          <w:p w14:paraId="156618E3" w14:textId="1EA6D1D3"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20</w:t>
            </w:r>
            <w:r w:rsidR="00AA3C00">
              <w:rPr>
                <w:rFonts w:eastAsia="Times New Roman"/>
                <w:color w:val="000000"/>
              </w:rPr>
              <w:t>.00</w:t>
            </w:r>
            <w:r>
              <w:rPr>
                <w:rFonts w:eastAsia="Times New Roman"/>
                <w:color w:val="000000"/>
              </w:rPr>
              <w:t xml:space="preserve"> (25</w:t>
            </w:r>
            <w:r w:rsidR="00AA3C00">
              <w:rPr>
                <w:rFonts w:eastAsia="Times New Roman"/>
                <w:color w:val="000000"/>
              </w:rPr>
              <w:t>.00</w:t>
            </w:r>
            <w:r>
              <w:rPr>
                <w:rFonts w:eastAsia="Times New Roman"/>
                <w:color w:val="000000"/>
              </w:rPr>
              <w:t>)</w:t>
            </w:r>
          </w:p>
        </w:tc>
        <w:tc>
          <w:tcPr>
            <w:tcW w:w="265" w:type="pct"/>
            <w:tcBorders>
              <w:top w:val="nil"/>
              <w:left w:val="nil"/>
              <w:bottom w:val="nil"/>
              <w:right w:val="nil"/>
            </w:tcBorders>
            <w:shd w:val="clear" w:color="auto" w:fill="FFFFFF"/>
            <w:tcMar>
              <w:top w:w="0" w:type="dxa"/>
              <w:left w:w="0" w:type="dxa"/>
              <w:bottom w:w="0" w:type="dxa"/>
              <w:right w:w="0" w:type="dxa"/>
            </w:tcMar>
            <w:vAlign w:val="center"/>
            <w:hideMark/>
          </w:tcPr>
          <w:p w14:paraId="08D56CA6"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28</w:t>
            </w:r>
          </w:p>
        </w:tc>
        <w:tc>
          <w:tcPr>
            <w:tcW w:w="1141" w:type="pct"/>
            <w:tcBorders>
              <w:top w:val="nil"/>
              <w:left w:val="nil"/>
              <w:bottom w:val="nil"/>
              <w:right w:val="nil"/>
            </w:tcBorders>
            <w:shd w:val="clear" w:color="auto" w:fill="FFFFFF"/>
            <w:tcMar>
              <w:top w:w="0" w:type="dxa"/>
              <w:left w:w="0" w:type="dxa"/>
              <w:bottom w:w="0" w:type="dxa"/>
              <w:right w:w="0" w:type="dxa"/>
            </w:tcMar>
            <w:vAlign w:val="center"/>
            <w:hideMark/>
          </w:tcPr>
          <w:p w14:paraId="7EB5C7E9" w14:textId="4040CFB6"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9</w:t>
            </w:r>
            <w:r w:rsidR="00AA3C00">
              <w:rPr>
                <w:rFonts w:eastAsia="Times New Roman"/>
                <w:color w:val="000000"/>
              </w:rPr>
              <w:t>.00</w:t>
            </w:r>
            <w:r>
              <w:rPr>
                <w:rFonts w:eastAsia="Times New Roman"/>
                <w:color w:val="000000"/>
              </w:rPr>
              <w:t xml:space="preserve"> (12.75)</w:t>
            </w:r>
          </w:p>
        </w:tc>
        <w:tc>
          <w:tcPr>
            <w:tcW w:w="1032" w:type="pct"/>
            <w:tcBorders>
              <w:top w:val="nil"/>
              <w:left w:val="nil"/>
              <w:bottom w:val="nil"/>
              <w:right w:val="nil"/>
            </w:tcBorders>
            <w:shd w:val="clear" w:color="auto" w:fill="FFFFFF"/>
            <w:vAlign w:val="center"/>
            <w:hideMark/>
          </w:tcPr>
          <w:p w14:paraId="1EC32AE9"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.004**</w:t>
            </w:r>
          </w:p>
        </w:tc>
      </w:tr>
      <w:tr w:rsidR="00B3282E" w14:paraId="61C45856" w14:textId="77777777" w:rsidTr="00D632A3">
        <w:trPr>
          <w:trHeight w:val="87"/>
        </w:trPr>
        <w:tc>
          <w:tcPr>
            <w:tcW w:w="1256" w:type="pct"/>
            <w:tcBorders>
              <w:top w:val="nil"/>
              <w:left w:val="nil"/>
              <w:bottom w:val="single" w:sz="4" w:space="0" w:color="000000"/>
              <w:right w:val="nil"/>
            </w:tcBorders>
            <w:shd w:val="clear" w:color="auto" w:fill="FFFFFF"/>
            <w:tcMar>
              <w:top w:w="0" w:type="dxa"/>
              <w:left w:w="0" w:type="dxa"/>
              <w:bottom w:w="0" w:type="dxa"/>
              <w:right w:w="0" w:type="dxa"/>
            </w:tcMar>
            <w:vAlign w:val="center"/>
            <w:hideMark/>
          </w:tcPr>
          <w:p w14:paraId="219C8517" w14:textId="77777777" w:rsidR="00B3282E" w:rsidRDefault="00B3282E" w:rsidP="004D5673">
            <w:pPr>
              <w:spacing w:before="100" w:after="100" w:line="360" w:lineRule="auto"/>
              <w:ind w:left="100" w:right="100" w:firstLine="42"/>
              <w:rPr>
                <w:rFonts w:eastAsia="Times New Roman"/>
                <w:b/>
                <w:color w:val="000000"/>
              </w:rPr>
            </w:pPr>
            <w:r>
              <w:rPr>
                <w:rFonts w:eastAsia="Times New Roman"/>
                <w:b/>
                <w:color w:val="000000"/>
                <w:szCs w:val="24"/>
              </w:rPr>
              <w:t>Leptin (</w:t>
            </w:r>
            <w:r>
              <w:rPr>
                <w:b/>
              </w:rPr>
              <w:t>ng/ml)</w:t>
            </w:r>
          </w:p>
        </w:tc>
        <w:tc>
          <w:tcPr>
            <w:tcW w:w="251" w:type="pct"/>
            <w:tcBorders>
              <w:top w:val="nil"/>
              <w:left w:val="nil"/>
              <w:bottom w:val="single" w:sz="4" w:space="0" w:color="000000"/>
              <w:right w:val="nil"/>
            </w:tcBorders>
            <w:shd w:val="clear" w:color="auto" w:fill="FFFFFF"/>
            <w:tcMar>
              <w:top w:w="0" w:type="dxa"/>
              <w:left w:w="0" w:type="dxa"/>
              <w:bottom w:w="0" w:type="dxa"/>
              <w:right w:w="0" w:type="dxa"/>
            </w:tcMar>
            <w:vAlign w:val="center"/>
            <w:hideMark/>
          </w:tcPr>
          <w:p w14:paraId="0CAA7D21" w14:textId="77777777" w:rsidR="00B3282E" w:rsidRDefault="00B3282E">
            <w:pPr>
              <w:spacing w:before="100" w:after="100" w:line="360" w:lineRule="auto"/>
              <w:ind w:left="100" w:right="100" w:firstLine="52"/>
              <w:jc w:val="center"/>
              <w:rPr>
                <w:rFonts w:eastAsia="Times New Roman"/>
                <w:color w:val="000000"/>
              </w:rPr>
            </w:pPr>
            <w:r>
              <w:rPr>
                <w:rFonts w:eastAsia="Times New Roman"/>
                <w:color w:val="000000"/>
              </w:rPr>
              <w:t>61</w:t>
            </w:r>
          </w:p>
        </w:tc>
        <w:tc>
          <w:tcPr>
            <w:tcW w:w="1055" w:type="pct"/>
            <w:tcBorders>
              <w:top w:val="nil"/>
              <w:left w:val="nil"/>
              <w:bottom w:val="single" w:sz="4" w:space="0" w:color="000000"/>
              <w:right w:val="nil"/>
            </w:tcBorders>
            <w:shd w:val="clear" w:color="auto" w:fill="FFFFFF"/>
            <w:tcMar>
              <w:top w:w="0" w:type="dxa"/>
              <w:left w:w="0" w:type="dxa"/>
              <w:bottom w:w="0" w:type="dxa"/>
              <w:right w:w="0" w:type="dxa"/>
            </w:tcMar>
            <w:vAlign w:val="center"/>
            <w:hideMark/>
          </w:tcPr>
          <w:p w14:paraId="038F1031" w14:textId="77777777" w:rsidR="00B3282E" w:rsidRDefault="00B3282E">
            <w:pPr>
              <w:spacing w:before="100" w:after="100" w:line="360" w:lineRule="auto"/>
              <w:ind w:left="100" w:right="100" w:firstLine="96"/>
              <w:jc w:val="center"/>
              <w:rPr>
                <w:rFonts w:eastAsia="Times New Roman"/>
                <w:color w:val="000000"/>
              </w:rPr>
            </w:pPr>
            <w:r>
              <w:rPr>
                <w:rFonts w:eastAsia="Times New Roman"/>
                <w:color w:val="000000"/>
              </w:rPr>
              <w:t>8.98 (9.53)</w:t>
            </w:r>
          </w:p>
        </w:tc>
        <w:tc>
          <w:tcPr>
            <w:tcW w:w="265" w:type="pct"/>
            <w:tcBorders>
              <w:top w:val="nil"/>
              <w:left w:val="nil"/>
              <w:bottom w:val="single" w:sz="4" w:space="0" w:color="000000"/>
              <w:right w:val="nil"/>
            </w:tcBorders>
            <w:shd w:val="clear" w:color="auto" w:fill="FFFFFF"/>
            <w:tcMar>
              <w:top w:w="0" w:type="dxa"/>
              <w:left w:w="0" w:type="dxa"/>
              <w:bottom w:w="0" w:type="dxa"/>
              <w:right w:w="0" w:type="dxa"/>
            </w:tcMar>
            <w:vAlign w:val="center"/>
            <w:hideMark/>
          </w:tcPr>
          <w:p w14:paraId="226CD9EE" w14:textId="77777777" w:rsidR="00B3282E" w:rsidRDefault="00B3282E">
            <w:pPr>
              <w:spacing w:before="100" w:after="100" w:line="360" w:lineRule="auto"/>
              <w:ind w:left="100" w:right="100" w:firstLine="105"/>
              <w:jc w:val="center"/>
              <w:rPr>
                <w:rFonts w:eastAsia="Times New Roman"/>
                <w:color w:val="000000"/>
              </w:rPr>
            </w:pPr>
            <w:r>
              <w:rPr>
                <w:rFonts w:eastAsia="Times New Roman"/>
                <w:color w:val="000000"/>
              </w:rPr>
              <w:t>29</w:t>
            </w:r>
          </w:p>
        </w:tc>
        <w:tc>
          <w:tcPr>
            <w:tcW w:w="1141" w:type="pct"/>
            <w:tcBorders>
              <w:top w:val="nil"/>
              <w:left w:val="nil"/>
              <w:bottom w:val="single" w:sz="4" w:space="0" w:color="000000"/>
              <w:right w:val="nil"/>
            </w:tcBorders>
            <w:shd w:val="clear" w:color="auto" w:fill="FFFFFF"/>
            <w:tcMar>
              <w:top w:w="0" w:type="dxa"/>
              <w:left w:w="0" w:type="dxa"/>
              <w:bottom w:w="0" w:type="dxa"/>
              <w:right w:w="0" w:type="dxa"/>
            </w:tcMar>
            <w:vAlign w:val="center"/>
            <w:hideMark/>
          </w:tcPr>
          <w:p w14:paraId="44F146CB" w14:textId="116D4B8B" w:rsidR="00B3282E" w:rsidRDefault="00B3282E">
            <w:pPr>
              <w:spacing w:before="100" w:after="100" w:line="360" w:lineRule="auto"/>
              <w:ind w:left="100" w:right="100" w:firstLine="28"/>
              <w:jc w:val="center"/>
              <w:rPr>
                <w:rFonts w:eastAsia="Times New Roman"/>
                <w:color w:val="000000"/>
              </w:rPr>
            </w:pPr>
            <w:r>
              <w:rPr>
                <w:rFonts w:eastAsia="Times New Roman"/>
                <w:color w:val="000000"/>
              </w:rPr>
              <w:t>11.86 (11.6</w:t>
            </w:r>
            <w:r w:rsidR="00AA3C00">
              <w:rPr>
                <w:rFonts w:eastAsia="Times New Roman"/>
                <w:color w:val="000000"/>
              </w:rPr>
              <w:t>0</w:t>
            </w:r>
            <w:r>
              <w:rPr>
                <w:rFonts w:eastAsia="Times New Roman"/>
                <w:color w:val="000000"/>
              </w:rPr>
              <w:t>)</w:t>
            </w:r>
          </w:p>
        </w:tc>
        <w:tc>
          <w:tcPr>
            <w:tcW w:w="1032" w:type="pct"/>
            <w:tcBorders>
              <w:top w:val="nil"/>
              <w:left w:val="nil"/>
              <w:bottom w:val="single" w:sz="4" w:space="0" w:color="000000"/>
              <w:right w:val="nil"/>
            </w:tcBorders>
            <w:shd w:val="clear" w:color="auto" w:fill="FFFFFF"/>
            <w:vAlign w:val="center"/>
            <w:hideMark/>
          </w:tcPr>
          <w:p w14:paraId="7735B096" w14:textId="77777777" w:rsidR="00B3282E" w:rsidRDefault="00B3282E">
            <w:pPr>
              <w:spacing w:before="100" w:after="100" w:line="360" w:lineRule="auto"/>
              <w:ind w:left="100" w:right="100" w:firstLine="25"/>
              <w:jc w:val="center"/>
              <w:rPr>
                <w:rFonts w:eastAsia="Times New Roman"/>
                <w:color w:val="000000"/>
                <w:szCs w:val="24"/>
              </w:rPr>
            </w:pPr>
            <w:r>
              <w:rPr>
                <w:rFonts w:eastAsia="Times New Roman"/>
                <w:color w:val="000000"/>
                <w:szCs w:val="24"/>
              </w:rPr>
              <w:t>.075</w:t>
            </w:r>
          </w:p>
        </w:tc>
      </w:tr>
    </w:tbl>
    <w:p w14:paraId="037DA3EE" w14:textId="119A4193" w:rsidR="00963B0B" w:rsidRDefault="00B3282E" w:rsidP="004D5673">
      <w:pPr>
        <w:sectPr w:rsidR="00963B0B" w:rsidSect="002F3C76">
          <w:pgSz w:w="16838" w:h="11906" w:orient="landscape"/>
          <w:pgMar w:top="1417" w:right="1417" w:bottom="1417" w:left="1134" w:header="708" w:footer="708" w:gutter="0"/>
          <w:cols w:space="708"/>
          <w:docGrid w:linePitch="360"/>
        </w:sectPr>
      </w:pPr>
      <w:r>
        <w:rPr>
          <w:i/>
        </w:rPr>
        <w:t>Note.</w:t>
      </w:r>
      <w:r>
        <w:t xml:space="preserve"> BDI-II=Beck Depression Inventory-II; </w:t>
      </w:r>
      <w:r w:rsidR="006530AE">
        <w:t xml:space="preserve">BMI=body mass index; </w:t>
      </w:r>
      <w:r>
        <w:t>BMI-SDS=body mass index standard deviation score; EDI-2=Eating Disorder Inventory-2; HC=healthy controls; IQ=intelligence quotient; kg/m²=kilograms per square meter; ng/m</w:t>
      </w:r>
      <w:r w:rsidR="00986FAE">
        <w:t>l</w:t>
      </w:r>
      <w:r>
        <w:t xml:space="preserve">=nanograms per millilitre; SCL-90-R=Symptom Checklist-90-Revised. </w:t>
      </w:r>
      <w:proofErr w:type="spellStart"/>
      <w:r>
        <w:t>Mean</w:t>
      </w:r>
      <w:r w:rsidR="006530AE">
        <w:t>±</w:t>
      </w:r>
      <w:r>
        <w:t>standard</w:t>
      </w:r>
      <w:proofErr w:type="spellEnd"/>
      <w:r>
        <w:t xml:space="preserve"> deviation is reported for normally distributed parameters; median (interquartile range) is reported for non-normally distributed parameters. Group comparisons were performed using Student’s t-test or Mann–Whitney U test, as appropriate. Asterisks indicate statistical significance (two-tailed): </w:t>
      </w:r>
      <w:r w:rsidR="00AA3C00">
        <w:rPr>
          <w:i/>
        </w:rPr>
        <w:t>p</w:t>
      </w:r>
      <w:r>
        <w:t xml:space="preserve">&lt;.01 (**), </w:t>
      </w:r>
      <w:r w:rsidR="00AA3C00">
        <w:rPr>
          <w:i/>
        </w:rPr>
        <w:t>p</w:t>
      </w:r>
      <w:r>
        <w:t>&lt;.05 (*).</w:t>
      </w:r>
    </w:p>
    <w:p w14:paraId="4F69E032" w14:textId="193431BC" w:rsidR="00963B0B" w:rsidRPr="000449D6" w:rsidRDefault="00963B0B" w:rsidP="00053C2C">
      <w:pPr>
        <w:pStyle w:val="Caption"/>
        <w:keepNext/>
        <w:spacing w:line="360" w:lineRule="auto"/>
        <w:ind w:firstLine="0"/>
      </w:pPr>
      <w:r>
        <w:rPr>
          <w:b/>
        </w:rPr>
        <w:lastRenderedPageBreak/>
        <w:t xml:space="preserve">Supplemental </w:t>
      </w:r>
      <w:r w:rsidRPr="004B6C81">
        <w:rPr>
          <w:b/>
        </w:rPr>
        <w:t>Table</w:t>
      </w:r>
      <w:r>
        <w:rPr>
          <w:b/>
        </w:rPr>
        <w:t xml:space="preserve"> </w:t>
      </w:r>
      <w:r w:rsidR="003F74F3">
        <w:rPr>
          <w:b/>
        </w:rPr>
        <w:t>3</w:t>
      </w:r>
      <w:r>
        <w:rPr>
          <w:b/>
        </w:rPr>
        <w:t>.</w:t>
      </w:r>
      <w:r w:rsidRPr="000449D6">
        <w:t xml:space="preserve"> </w:t>
      </w:r>
      <w:r>
        <w:t>HC groups</w:t>
      </w:r>
      <w:r w:rsidR="000D1980">
        <w:t xml:space="preserve"> after age-matching</w:t>
      </w:r>
      <w:r w:rsidR="00946F62">
        <w:t>:</w:t>
      </w:r>
      <w:r>
        <w:t xml:space="preserve"> Parameters of psychopathology. </w:t>
      </w:r>
    </w:p>
    <w:tbl>
      <w:tblPr>
        <w:tblW w:w="5000" w:type="pct"/>
        <w:tblLayout w:type="fixed"/>
        <w:tblLook w:val="0420" w:firstRow="1" w:lastRow="0" w:firstColumn="0" w:lastColumn="0" w:noHBand="0" w:noVBand="1"/>
      </w:tblPr>
      <w:tblGrid>
        <w:gridCol w:w="1449"/>
        <w:gridCol w:w="1130"/>
        <w:gridCol w:w="2292"/>
        <w:gridCol w:w="858"/>
        <w:gridCol w:w="2067"/>
        <w:gridCol w:w="1276"/>
      </w:tblGrid>
      <w:tr w:rsidR="00AA3C00" w14:paraId="010DE564" w14:textId="77777777" w:rsidTr="009629A7">
        <w:trPr>
          <w:trHeight w:val="406"/>
        </w:trPr>
        <w:tc>
          <w:tcPr>
            <w:tcW w:w="799"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1421018E" w14:textId="77777777" w:rsidR="00AA3C00" w:rsidRDefault="00AA3C00" w:rsidP="00EA7E5F">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eastAsia="Times New Roman"/>
                <w:color w:val="000000"/>
              </w:rPr>
            </w:pPr>
          </w:p>
        </w:tc>
        <w:tc>
          <w:tcPr>
            <w:tcW w:w="1886" w:type="pct"/>
            <w:gridSpan w:val="2"/>
            <w:tcBorders>
              <w:top w:val="single" w:sz="4" w:space="0" w:color="000000"/>
              <w:left w:val="none" w:sz="0" w:space="0" w:color="000000"/>
              <w:bottom w:val="single" w:sz="4" w:space="0" w:color="000000"/>
              <w:right w:val="none" w:sz="0" w:space="0" w:color="000000"/>
            </w:tcBorders>
            <w:shd w:val="clear" w:color="auto" w:fill="FFFFFF"/>
            <w:vAlign w:val="center"/>
          </w:tcPr>
          <w:p w14:paraId="514552AB" w14:textId="77777777"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r>
              <w:rPr>
                <w:i/>
              </w:rPr>
              <w:t>HC</w:t>
            </w:r>
            <w:r w:rsidRPr="000D1980">
              <w:rPr>
                <w:vertAlign w:val="superscript"/>
              </w:rPr>
              <w:sym w:font="Symbol" w:char="F02D"/>
            </w:r>
          </w:p>
        </w:tc>
        <w:tc>
          <w:tcPr>
            <w:tcW w:w="1612" w:type="pct"/>
            <w:gridSpan w:val="2"/>
            <w:tcBorders>
              <w:top w:val="single" w:sz="4" w:space="0" w:color="000000"/>
              <w:left w:val="none" w:sz="0" w:space="0" w:color="000000"/>
              <w:bottom w:val="single" w:sz="4" w:space="0" w:color="000000"/>
              <w:right w:val="none" w:sz="0" w:space="0" w:color="000000"/>
            </w:tcBorders>
            <w:shd w:val="clear" w:color="auto" w:fill="FFFFFF"/>
            <w:vAlign w:val="center"/>
          </w:tcPr>
          <w:p w14:paraId="6B8138CB" w14:textId="25346385"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r>
              <w:rPr>
                <w:i/>
              </w:rPr>
              <w:t>HC</w:t>
            </w:r>
            <w:r w:rsidRPr="000D1980">
              <w:rPr>
                <w:i/>
                <w:vertAlign w:val="superscript"/>
              </w:rPr>
              <w:t>+</w:t>
            </w:r>
          </w:p>
        </w:tc>
        <w:tc>
          <w:tcPr>
            <w:tcW w:w="703" w:type="pct"/>
            <w:vMerge w:val="restart"/>
            <w:tcBorders>
              <w:top w:val="single" w:sz="4" w:space="0" w:color="000000"/>
              <w:left w:val="none" w:sz="0" w:space="0" w:color="000000"/>
              <w:right w:val="none" w:sz="0" w:space="0" w:color="000000"/>
            </w:tcBorders>
            <w:shd w:val="clear" w:color="auto" w:fill="FFFFFF"/>
            <w:vAlign w:val="center"/>
          </w:tcPr>
          <w:p w14:paraId="576CB94F" w14:textId="77777777" w:rsidR="00AA3C00" w:rsidRDefault="00AA3C00" w:rsidP="00EA7E5F">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r>
              <w:rPr>
                <w:rFonts w:eastAsia="Times New Roman"/>
                <w:b/>
                <w:i/>
                <w:color w:val="000000"/>
                <w:szCs w:val="24"/>
              </w:rPr>
              <w:t>p</w:t>
            </w:r>
          </w:p>
        </w:tc>
      </w:tr>
      <w:tr w:rsidR="002934F1" w:rsidRPr="003624DD" w14:paraId="3FC203E8" w14:textId="77777777" w:rsidTr="002934F1">
        <w:trPr>
          <w:trHeight w:val="406"/>
        </w:trPr>
        <w:tc>
          <w:tcPr>
            <w:tcW w:w="799"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D25F111" w14:textId="77777777" w:rsidR="00AA3C00" w:rsidRDefault="00AA3C00" w:rsidP="00EA7E5F">
            <w:pPr>
              <w:pBdr>
                <w:top w:val="none" w:sz="0" w:space="0" w:color="000000"/>
                <w:left w:val="none" w:sz="0" w:space="0" w:color="000000"/>
                <w:bottom w:val="none" w:sz="0" w:space="0" w:color="000000"/>
                <w:right w:val="none" w:sz="0" w:space="0" w:color="000000"/>
              </w:pBdr>
              <w:spacing w:before="100" w:after="100" w:line="360" w:lineRule="auto"/>
              <w:ind w:left="100" w:right="100"/>
              <w:jc w:val="center"/>
              <w:rPr>
                <w:rFonts w:eastAsia="Times New Roman"/>
                <w:color w:val="000000"/>
              </w:rPr>
            </w:pPr>
          </w:p>
        </w:tc>
        <w:tc>
          <w:tcPr>
            <w:tcW w:w="623" w:type="pct"/>
            <w:tcBorders>
              <w:top w:val="single" w:sz="4" w:space="0" w:color="000000"/>
              <w:left w:val="none" w:sz="0" w:space="0" w:color="000000"/>
              <w:bottom w:val="single" w:sz="4" w:space="0" w:color="000000"/>
              <w:right w:val="none" w:sz="0" w:space="0" w:color="000000"/>
            </w:tcBorders>
            <w:shd w:val="clear" w:color="auto" w:fill="FFFFFF"/>
          </w:tcPr>
          <w:p w14:paraId="039DD473" w14:textId="77777777" w:rsidR="00AA3C00" w:rsidRPr="00C25079" w:rsidRDefault="00AA3C00" w:rsidP="00EA7E5F">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color w:val="000000"/>
                <w:szCs w:val="24"/>
              </w:rPr>
            </w:pPr>
            <w:r w:rsidRPr="00C25079">
              <w:rPr>
                <w:rFonts w:eastAsia="Times New Roman"/>
                <w:b/>
                <w:color w:val="000000"/>
                <w:szCs w:val="24"/>
              </w:rPr>
              <w:t>N</w:t>
            </w:r>
          </w:p>
        </w:tc>
        <w:tc>
          <w:tcPr>
            <w:tcW w:w="1263" w:type="pct"/>
            <w:tcBorders>
              <w:top w:val="single" w:sz="4" w:space="0" w:color="000000"/>
              <w:left w:val="none" w:sz="0" w:space="0" w:color="000000"/>
              <w:bottom w:val="single" w:sz="4" w:space="0" w:color="000000"/>
              <w:right w:val="none" w:sz="0" w:space="0" w:color="000000"/>
            </w:tcBorders>
            <w:shd w:val="clear" w:color="auto" w:fill="FFFFFF"/>
          </w:tcPr>
          <w:p w14:paraId="58EBF264" w14:textId="4984A4F8" w:rsidR="00AA3C00" w:rsidRPr="00C25079" w:rsidRDefault="00AA3C00" w:rsidP="00AA3C00">
            <w:pPr>
              <w:ind w:firstLine="0"/>
              <w:jc w:val="center"/>
              <w:rPr>
                <w:b/>
                <w:shd w:val="clear" w:color="auto" w:fill="FFFFFF"/>
              </w:rPr>
            </w:pPr>
            <w:proofErr w:type="spellStart"/>
            <w:r w:rsidRPr="00C25079">
              <w:rPr>
                <w:b/>
              </w:rPr>
              <w:t>Mean</w:t>
            </w:r>
            <w:r w:rsidR="006530AE">
              <w:rPr>
                <w:b/>
              </w:rPr>
              <w:t>±</w:t>
            </w:r>
            <w:r w:rsidRPr="00C25079">
              <w:rPr>
                <w:b/>
                <w:shd w:val="clear" w:color="auto" w:fill="FFFFFF"/>
              </w:rPr>
              <w:t>SD</w:t>
            </w:r>
            <w:proofErr w:type="spellEnd"/>
          </w:p>
          <w:p w14:paraId="6EBEC7C5" w14:textId="77777777" w:rsidR="00AA3C00" w:rsidRPr="00C25079"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right="100" w:firstLine="0"/>
              <w:jc w:val="center"/>
              <w:rPr>
                <w:rFonts w:eastAsia="Times New Roman"/>
                <w:b/>
                <w:color w:val="000000"/>
                <w:szCs w:val="24"/>
              </w:rPr>
            </w:pPr>
            <w:r w:rsidRPr="00C25079">
              <w:rPr>
                <w:b/>
              </w:rPr>
              <w:t>Median (IQR)</w:t>
            </w:r>
          </w:p>
        </w:tc>
        <w:tc>
          <w:tcPr>
            <w:tcW w:w="473" w:type="pct"/>
            <w:tcBorders>
              <w:top w:val="single" w:sz="4" w:space="0" w:color="000000"/>
              <w:left w:val="none" w:sz="0" w:space="0" w:color="000000"/>
              <w:bottom w:val="single" w:sz="4" w:space="0" w:color="000000"/>
              <w:right w:val="none" w:sz="0" w:space="0" w:color="000000"/>
            </w:tcBorders>
            <w:shd w:val="clear" w:color="auto" w:fill="FFFFFF"/>
          </w:tcPr>
          <w:p w14:paraId="2802C635" w14:textId="77777777" w:rsidR="00AA3C00" w:rsidRPr="00C25079"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color w:val="000000"/>
                <w:szCs w:val="24"/>
              </w:rPr>
            </w:pPr>
            <w:r w:rsidRPr="00C25079">
              <w:rPr>
                <w:rFonts w:eastAsia="Times New Roman"/>
                <w:b/>
                <w:color w:val="000000"/>
                <w:szCs w:val="24"/>
              </w:rPr>
              <w:t>N</w:t>
            </w:r>
          </w:p>
        </w:tc>
        <w:tc>
          <w:tcPr>
            <w:tcW w:w="1139" w:type="pct"/>
            <w:tcBorders>
              <w:top w:val="single" w:sz="4" w:space="0" w:color="000000"/>
              <w:left w:val="none" w:sz="0" w:space="0" w:color="000000"/>
              <w:bottom w:val="single" w:sz="4" w:space="0" w:color="000000"/>
              <w:right w:val="none" w:sz="0" w:space="0" w:color="000000"/>
            </w:tcBorders>
            <w:shd w:val="clear" w:color="auto" w:fill="FFFFFF"/>
          </w:tcPr>
          <w:p w14:paraId="0D7A99A0" w14:textId="6BEF5305" w:rsidR="00AA3C00" w:rsidRDefault="00AA3C00" w:rsidP="00AA3C00">
            <w:pPr>
              <w:ind w:firstLine="0"/>
              <w:jc w:val="center"/>
              <w:rPr>
                <w:b/>
                <w:shd w:val="clear" w:color="auto" w:fill="FFFFFF"/>
              </w:rPr>
            </w:pPr>
            <w:proofErr w:type="spellStart"/>
            <w:r w:rsidRPr="00C25079">
              <w:rPr>
                <w:b/>
              </w:rPr>
              <w:t>Mean</w:t>
            </w:r>
            <w:r w:rsidR="006530AE">
              <w:rPr>
                <w:b/>
              </w:rPr>
              <w:t>±</w:t>
            </w:r>
            <w:r w:rsidRPr="00C25079">
              <w:rPr>
                <w:b/>
                <w:shd w:val="clear" w:color="auto" w:fill="FFFFFF"/>
              </w:rPr>
              <w:t>SD</w:t>
            </w:r>
            <w:proofErr w:type="spellEnd"/>
          </w:p>
          <w:p w14:paraId="336455B5" w14:textId="77777777" w:rsidR="00AA3C00" w:rsidRPr="00C25079" w:rsidRDefault="00AA3C00" w:rsidP="00AA3C00">
            <w:pPr>
              <w:ind w:firstLine="0"/>
              <w:jc w:val="center"/>
              <w:rPr>
                <w:b/>
                <w:shd w:val="clear" w:color="auto" w:fill="FFFFFF"/>
              </w:rPr>
            </w:pPr>
            <w:r w:rsidRPr="00C25079">
              <w:rPr>
                <w:b/>
              </w:rPr>
              <w:t>Median (IQR)</w:t>
            </w:r>
          </w:p>
        </w:tc>
        <w:tc>
          <w:tcPr>
            <w:tcW w:w="703" w:type="pct"/>
            <w:vMerge/>
            <w:tcBorders>
              <w:left w:val="none" w:sz="0" w:space="0" w:color="000000"/>
              <w:bottom w:val="single" w:sz="4" w:space="0" w:color="000000"/>
              <w:right w:val="none" w:sz="0" w:space="0" w:color="000000"/>
            </w:tcBorders>
            <w:shd w:val="clear" w:color="auto" w:fill="FFFFFF"/>
          </w:tcPr>
          <w:p w14:paraId="2B38DEA4" w14:textId="77777777" w:rsidR="00AA3C00" w:rsidRPr="003624DD" w:rsidRDefault="00AA3C00" w:rsidP="00EA7E5F">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b/>
                <w:i/>
                <w:color w:val="000000"/>
                <w:szCs w:val="24"/>
              </w:rPr>
            </w:pPr>
          </w:p>
        </w:tc>
      </w:tr>
      <w:tr w:rsidR="002934F1" w14:paraId="1FACF71A" w14:textId="77777777" w:rsidTr="002934F1">
        <w:trPr>
          <w:trHeight w:val="566"/>
        </w:trPr>
        <w:tc>
          <w:tcPr>
            <w:tcW w:w="799"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1CBC51" w14:textId="77777777" w:rsidR="00AA3C00" w:rsidRPr="00645F8F" w:rsidRDefault="00AA3C00" w:rsidP="004D5673">
            <w:pPr>
              <w:pBdr>
                <w:top w:val="none" w:sz="0" w:space="0" w:color="000000"/>
                <w:left w:val="none" w:sz="0" w:space="0" w:color="000000"/>
                <w:bottom w:val="none" w:sz="0" w:space="0" w:color="000000"/>
                <w:right w:val="none" w:sz="0" w:space="0" w:color="000000"/>
              </w:pBdr>
              <w:spacing w:before="100" w:after="100" w:line="360" w:lineRule="auto"/>
              <w:ind w:left="100" w:right="100" w:firstLine="42"/>
              <w:rPr>
                <w:rFonts w:eastAsia="Times New Roman"/>
                <w:b/>
                <w:color w:val="000000"/>
              </w:rPr>
            </w:pPr>
            <w:r>
              <w:rPr>
                <w:rFonts w:eastAsia="Times New Roman"/>
                <w:b/>
                <w:color w:val="000000"/>
                <w:szCs w:val="24"/>
              </w:rPr>
              <w:t>BDI-II</w:t>
            </w:r>
          </w:p>
        </w:tc>
        <w:tc>
          <w:tcPr>
            <w:tcW w:w="623" w:type="pct"/>
            <w:tcBorders>
              <w:top w:val="single" w:sz="4" w:space="0" w:color="000000"/>
              <w:left w:val="none" w:sz="0" w:space="0" w:color="000000"/>
              <w:bottom w:val="none" w:sz="0" w:space="0" w:color="000000"/>
              <w:right w:val="none" w:sz="0" w:space="0" w:color="000000"/>
            </w:tcBorders>
            <w:shd w:val="clear" w:color="auto" w:fill="FFFFFF"/>
            <w:vAlign w:val="center"/>
          </w:tcPr>
          <w:p w14:paraId="16712B85" w14:textId="4A54BC4D"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61</w:t>
            </w:r>
          </w:p>
        </w:tc>
        <w:tc>
          <w:tcPr>
            <w:tcW w:w="1263" w:type="pct"/>
            <w:tcBorders>
              <w:top w:val="single" w:sz="4" w:space="0" w:color="000000"/>
              <w:left w:val="none" w:sz="0" w:space="0" w:color="000000"/>
              <w:bottom w:val="none" w:sz="0" w:space="0" w:color="000000"/>
              <w:right w:val="none" w:sz="0" w:space="0" w:color="000000"/>
            </w:tcBorders>
            <w:shd w:val="clear" w:color="auto" w:fill="FFFFFF"/>
            <w:vAlign w:val="center"/>
          </w:tcPr>
          <w:p w14:paraId="0E9F5AB8" w14:textId="19A0A423"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4</w:t>
            </w:r>
            <w:r w:rsidR="002934F1">
              <w:rPr>
                <w:rFonts w:eastAsia="Times New Roman"/>
                <w:color w:val="000000"/>
              </w:rPr>
              <w:t>.00</w:t>
            </w:r>
            <w:r>
              <w:rPr>
                <w:rFonts w:eastAsia="Times New Roman"/>
                <w:color w:val="000000"/>
              </w:rPr>
              <w:t xml:space="preserve"> (6</w:t>
            </w:r>
            <w:r w:rsidR="002934F1">
              <w:rPr>
                <w:rFonts w:eastAsia="Times New Roman"/>
                <w:color w:val="000000"/>
              </w:rPr>
              <w:t>.00</w:t>
            </w:r>
            <w:r>
              <w:rPr>
                <w:rFonts w:eastAsia="Times New Roman"/>
                <w:color w:val="000000"/>
              </w:rPr>
              <w:t>)</w:t>
            </w:r>
          </w:p>
        </w:tc>
        <w:tc>
          <w:tcPr>
            <w:tcW w:w="473" w:type="pct"/>
            <w:tcBorders>
              <w:top w:val="single" w:sz="4" w:space="0" w:color="000000"/>
              <w:left w:val="none" w:sz="0" w:space="0" w:color="000000"/>
              <w:bottom w:val="none" w:sz="0" w:space="0" w:color="000000"/>
              <w:right w:val="none" w:sz="0" w:space="0" w:color="000000"/>
            </w:tcBorders>
            <w:shd w:val="clear" w:color="auto" w:fill="FFFFFF"/>
            <w:vAlign w:val="center"/>
          </w:tcPr>
          <w:p w14:paraId="126810AD" w14:textId="54D658CD"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29</w:t>
            </w:r>
          </w:p>
        </w:tc>
        <w:tc>
          <w:tcPr>
            <w:tcW w:w="1139" w:type="pct"/>
            <w:tcBorders>
              <w:top w:val="single" w:sz="4" w:space="0" w:color="000000"/>
              <w:left w:val="none" w:sz="0" w:space="0" w:color="000000"/>
              <w:bottom w:val="none" w:sz="0" w:space="0" w:color="000000"/>
              <w:right w:val="none" w:sz="0" w:space="0" w:color="000000"/>
            </w:tcBorders>
            <w:shd w:val="clear" w:color="auto" w:fill="FFFFFF"/>
            <w:vAlign w:val="center"/>
          </w:tcPr>
          <w:p w14:paraId="3D54696E" w14:textId="72F1F37D"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1</w:t>
            </w:r>
            <w:r w:rsidR="002934F1">
              <w:rPr>
                <w:rFonts w:eastAsia="Times New Roman"/>
                <w:color w:val="000000"/>
              </w:rPr>
              <w:t>.00</w:t>
            </w:r>
            <w:r>
              <w:rPr>
                <w:rFonts w:eastAsia="Times New Roman"/>
                <w:color w:val="000000"/>
              </w:rPr>
              <w:t xml:space="preserve"> (3</w:t>
            </w:r>
            <w:r w:rsidR="002934F1">
              <w:rPr>
                <w:rFonts w:eastAsia="Times New Roman"/>
                <w:color w:val="000000"/>
              </w:rPr>
              <w:t>.00</w:t>
            </w:r>
            <w:r>
              <w:rPr>
                <w:rFonts w:eastAsia="Times New Roman"/>
                <w:color w:val="000000"/>
              </w:rPr>
              <w:t>)</w:t>
            </w:r>
          </w:p>
        </w:tc>
        <w:tc>
          <w:tcPr>
            <w:tcW w:w="703" w:type="pct"/>
            <w:tcBorders>
              <w:top w:val="single" w:sz="4" w:space="0" w:color="000000"/>
              <w:left w:val="none" w:sz="0" w:space="0" w:color="000000"/>
              <w:bottom w:val="none" w:sz="0" w:space="0" w:color="000000"/>
              <w:right w:val="none" w:sz="0" w:space="0" w:color="000000"/>
            </w:tcBorders>
            <w:shd w:val="clear" w:color="auto" w:fill="FFFFFF"/>
          </w:tcPr>
          <w:p w14:paraId="6A5D7DB8" w14:textId="7E69A093"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.156</w:t>
            </w:r>
          </w:p>
        </w:tc>
      </w:tr>
      <w:tr w:rsidR="002934F1" w:rsidRPr="00B2288F" w14:paraId="6CDDF98A" w14:textId="77777777" w:rsidTr="002934F1">
        <w:trPr>
          <w:trHeight w:val="566"/>
        </w:trPr>
        <w:tc>
          <w:tcPr>
            <w:tcW w:w="799" w:type="pct"/>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9907291" w14:textId="77777777" w:rsidR="00AA3C00" w:rsidRPr="00645F8F" w:rsidRDefault="00AA3C00" w:rsidP="004D5673">
            <w:pPr>
              <w:pBdr>
                <w:top w:val="none" w:sz="0" w:space="0" w:color="000000"/>
                <w:left w:val="none" w:sz="0" w:space="0" w:color="000000"/>
                <w:bottom w:val="none" w:sz="0" w:space="0" w:color="000000"/>
                <w:right w:val="none" w:sz="0" w:space="0" w:color="000000"/>
              </w:pBdr>
              <w:spacing w:before="100" w:after="100" w:line="360" w:lineRule="auto"/>
              <w:ind w:left="100" w:right="100" w:firstLine="42"/>
              <w:rPr>
                <w:rFonts w:eastAsia="Times New Roman"/>
                <w:b/>
                <w:color w:val="000000"/>
              </w:rPr>
            </w:pPr>
            <w:r>
              <w:rPr>
                <w:rFonts w:eastAsia="Times New Roman"/>
                <w:b/>
                <w:color w:val="000000"/>
                <w:szCs w:val="24"/>
              </w:rPr>
              <w:t>EDI-2</w:t>
            </w:r>
          </w:p>
        </w:tc>
        <w:tc>
          <w:tcPr>
            <w:tcW w:w="623" w:type="pct"/>
            <w:tcBorders>
              <w:top w:val="none" w:sz="0" w:space="0" w:color="000000"/>
              <w:left w:val="none" w:sz="0" w:space="0" w:color="000000"/>
              <w:right w:val="none" w:sz="0" w:space="0" w:color="000000"/>
            </w:tcBorders>
            <w:shd w:val="clear" w:color="auto" w:fill="FFFFFF"/>
            <w:vAlign w:val="center"/>
          </w:tcPr>
          <w:p w14:paraId="45880183" w14:textId="71005E7E"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61</w:t>
            </w:r>
          </w:p>
        </w:tc>
        <w:tc>
          <w:tcPr>
            <w:tcW w:w="1263" w:type="pct"/>
            <w:tcBorders>
              <w:top w:val="none" w:sz="0" w:space="0" w:color="000000"/>
              <w:left w:val="none" w:sz="0" w:space="0" w:color="000000"/>
              <w:right w:val="none" w:sz="0" w:space="0" w:color="000000"/>
            </w:tcBorders>
            <w:shd w:val="clear" w:color="auto" w:fill="FFFFFF"/>
            <w:vAlign w:val="center"/>
          </w:tcPr>
          <w:p w14:paraId="0DAEDA75" w14:textId="1578BDE2"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141</w:t>
            </w:r>
            <w:r w:rsidR="002934F1">
              <w:rPr>
                <w:rFonts w:eastAsia="Times New Roman"/>
                <w:color w:val="000000"/>
              </w:rPr>
              <w:t>.00</w:t>
            </w:r>
            <w:r>
              <w:rPr>
                <w:rFonts w:eastAsia="Times New Roman"/>
                <w:color w:val="000000"/>
              </w:rPr>
              <w:t xml:space="preserve"> (41</w:t>
            </w:r>
            <w:r w:rsidR="002934F1">
              <w:rPr>
                <w:rFonts w:eastAsia="Times New Roman"/>
                <w:color w:val="000000"/>
              </w:rPr>
              <w:t>.00</w:t>
            </w:r>
            <w:r>
              <w:rPr>
                <w:rFonts w:eastAsia="Times New Roman"/>
                <w:color w:val="000000"/>
              </w:rPr>
              <w:t>)</w:t>
            </w:r>
          </w:p>
        </w:tc>
        <w:tc>
          <w:tcPr>
            <w:tcW w:w="473" w:type="pct"/>
            <w:tcBorders>
              <w:top w:val="none" w:sz="0" w:space="0" w:color="000000"/>
              <w:left w:val="none" w:sz="0" w:space="0" w:color="000000"/>
              <w:right w:val="none" w:sz="0" w:space="0" w:color="000000"/>
            </w:tcBorders>
            <w:shd w:val="clear" w:color="auto" w:fill="FFFFFF"/>
            <w:vAlign w:val="center"/>
          </w:tcPr>
          <w:p w14:paraId="07FF6225" w14:textId="2BEAE4B7"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28</w:t>
            </w:r>
          </w:p>
        </w:tc>
        <w:tc>
          <w:tcPr>
            <w:tcW w:w="1139" w:type="pct"/>
            <w:tcBorders>
              <w:top w:val="none" w:sz="0" w:space="0" w:color="000000"/>
              <w:left w:val="none" w:sz="0" w:space="0" w:color="000000"/>
              <w:right w:val="none" w:sz="0" w:space="0" w:color="000000"/>
            </w:tcBorders>
            <w:shd w:val="clear" w:color="auto" w:fill="FFFFFF"/>
            <w:vAlign w:val="center"/>
          </w:tcPr>
          <w:p w14:paraId="6B64DC49" w14:textId="63211A52"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124.5</w:t>
            </w:r>
            <w:r w:rsidR="002934F1">
              <w:rPr>
                <w:rFonts w:eastAsia="Times New Roman"/>
                <w:color w:val="000000"/>
              </w:rPr>
              <w:t>0</w:t>
            </w:r>
            <w:r>
              <w:rPr>
                <w:rFonts w:eastAsia="Times New Roman"/>
                <w:color w:val="000000"/>
              </w:rPr>
              <w:t xml:space="preserve"> (22.74</w:t>
            </w:r>
            <w:r>
              <w:rPr>
                <w:rFonts w:eastAsia="Times New Roman"/>
                <w:color w:val="000000"/>
                <w:sz w:val="26"/>
              </w:rPr>
              <w:t>)</w:t>
            </w:r>
          </w:p>
        </w:tc>
        <w:tc>
          <w:tcPr>
            <w:tcW w:w="703" w:type="pct"/>
            <w:tcBorders>
              <w:top w:val="none" w:sz="0" w:space="0" w:color="000000"/>
              <w:left w:val="none" w:sz="0" w:space="0" w:color="000000"/>
              <w:right w:val="none" w:sz="0" w:space="0" w:color="000000"/>
            </w:tcBorders>
            <w:shd w:val="clear" w:color="auto" w:fill="FFFFFF"/>
          </w:tcPr>
          <w:p w14:paraId="1763DB3A" w14:textId="70F5AC08" w:rsidR="00AA3C00" w:rsidRPr="00B2288F"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.272</w:t>
            </w:r>
          </w:p>
        </w:tc>
      </w:tr>
      <w:tr w:rsidR="002934F1" w:rsidRPr="00B2288F" w14:paraId="7DFFEB8C" w14:textId="77777777" w:rsidTr="002934F1">
        <w:trPr>
          <w:trHeight w:val="263"/>
        </w:trPr>
        <w:tc>
          <w:tcPr>
            <w:tcW w:w="799" w:type="pct"/>
            <w:tcBorders>
              <w:bottom w:val="single" w:sz="4" w:space="0" w:color="auto"/>
            </w:tcBorders>
            <w:shd w:val="clear" w:color="auto" w:fill="FFFFFF"/>
            <w:tcMar>
              <w:top w:w="0" w:type="dxa"/>
              <w:left w:w="0" w:type="dxa"/>
              <w:bottom w:w="0" w:type="dxa"/>
              <w:right w:w="0" w:type="dxa"/>
            </w:tcMar>
            <w:vAlign w:val="center"/>
          </w:tcPr>
          <w:p w14:paraId="1ABB0930" w14:textId="77777777" w:rsidR="00AA3C00" w:rsidRPr="00645F8F" w:rsidRDefault="00AA3C00" w:rsidP="004D5673">
            <w:pPr>
              <w:pBdr>
                <w:top w:val="none" w:sz="0" w:space="0" w:color="000000"/>
                <w:left w:val="none" w:sz="0" w:space="0" w:color="000000"/>
                <w:bottom w:val="none" w:sz="0" w:space="0" w:color="000000"/>
                <w:right w:val="none" w:sz="0" w:space="0" w:color="000000"/>
              </w:pBdr>
              <w:spacing w:before="100" w:after="100" w:line="360" w:lineRule="auto"/>
              <w:ind w:left="100" w:right="100" w:firstLine="42"/>
              <w:rPr>
                <w:rFonts w:eastAsia="Times New Roman"/>
                <w:b/>
                <w:color w:val="000000"/>
              </w:rPr>
            </w:pPr>
            <w:r>
              <w:rPr>
                <w:rFonts w:eastAsia="Times New Roman"/>
                <w:b/>
                <w:color w:val="000000"/>
                <w:szCs w:val="24"/>
              </w:rPr>
              <w:t>SCL-90-R</w:t>
            </w:r>
          </w:p>
        </w:tc>
        <w:tc>
          <w:tcPr>
            <w:tcW w:w="623" w:type="pct"/>
            <w:tcBorders>
              <w:bottom w:val="single" w:sz="4" w:space="0" w:color="auto"/>
            </w:tcBorders>
            <w:shd w:val="clear" w:color="auto" w:fill="FFFFFF"/>
            <w:vAlign w:val="center"/>
          </w:tcPr>
          <w:p w14:paraId="145C3934" w14:textId="6C6F4A91"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61</w:t>
            </w:r>
          </w:p>
        </w:tc>
        <w:tc>
          <w:tcPr>
            <w:tcW w:w="1263" w:type="pct"/>
            <w:tcBorders>
              <w:bottom w:val="single" w:sz="4" w:space="0" w:color="auto"/>
            </w:tcBorders>
            <w:shd w:val="clear" w:color="auto" w:fill="FFFFFF"/>
            <w:vAlign w:val="center"/>
          </w:tcPr>
          <w:p w14:paraId="310B2D4C" w14:textId="7E5D7A13" w:rsidR="00AA3C00"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20</w:t>
            </w:r>
            <w:r w:rsidR="002934F1">
              <w:rPr>
                <w:rFonts w:eastAsia="Times New Roman"/>
                <w:color w:val="000000"/>
              </w:rPr>
              <w:t>.00</w:t>
            </w:r>
            <w:r>
              <w:rPr>
                <w:rFonts w:eastAsia="Times New Roman"/>
                <w:color w:val="000000"/>
              </w:rPr>
              <w:t xml:space="preserve"> (25</w:t>
            </w:r>
            <w:r w:rsidR="002934F1">
              <w:rPr>
                <w:rFonts w:eastAsia="Times New Roman"/>
                <w:color w:val="000000"/>
              </w:rPr>
              <w:t>.00</w:t>
            </w:r>
            <w:r>
              <w:rPr>
                <w:rFonts w:eastAsia="Times New Roman"/>
                <w:color w:val="000000"/>
              </w:rPr>
              <w:t>)</w:t>
            </w:r>
          </w:p>
        </w:tc>
        <w:tc>
          <w:tcPr>
            <w:tcW w:w="473" w:type="pct"/>
            <w:tcBorders>
              <w:bottom w:val="single" w:sz="4" w:space="0" w:color="auto"/>
            </w:tcBorders>
            <w:shd w:val="clear" w:color="auto" w:fill="FFFFFF"/>
            <w:vAlign w:val="center"/>
          </w:tcPr>
          <w:p w14:paraId="14D5994C" w14:textId="6109F69C"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28</w:t>
            </w:r>
          </w:p>
        </w:tc>
        <w:tc>
          <w:tcPr>
            <w:tcW w:w="1139" w:type="pct"/>
            <w:tcBorders>
              <w:bottom w:val="single" w:sz="4" w:space="0" w:color="auto"/>
            </w:tcBorders>
            <w:shd w:val="clear" w:color="auto" w:fill="FFFFFF"/>
            <w:vAlign w:val="center"/>
          </w:tcPr>
          <w:p w14:paraId="6166C688" w14:textId="7719BD1C" w:rsidR="00AA3C00" w:rsidRDefault="00AA3C00" w:rsidP="002934F1">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rPr>
              <w:t>9</w:t>
            </w:r>
            <w:r w:rsidR="002934F1">
              <w:rPr>
                <w:rFonts w:eastAsia="Times New Roman"/>
                <w:color w:val="000000"/>
              </w:rPr>
              <w:t>.00</w:t>
            </w:r>
            <w:r>
              <w:rPr>
                <w:rFonts w:eastAsia="Times New Roman"/>
                <w:color w:val="000000"/>
              </w:rPr>
              <w:t xml:space="preserve"> (12.75)</w:t>
            </w:r>
          </w:p>
        </w:tc>
        <w:tc>
          <w:tcPr>
            <w:tcW w:w="703" w:type="pct"/>
            <w:tcBorders>
              <w:bottom w:val="single" w:sz="4" w:space="0" w:color="auto"/>
            </w:tcBorders>
            <w:shd w:val="clear" w:color="auto" w:fill="FFFFFF"/>
          </w:tcPr>
          <w:p w14:paraId="3EDB4C03" w14:textId="6B4A34F9" w:rsidR="00AA3C00" w:rsidRPr="00B2288F" w:rsidRDefault="00AA3C00" w:rsidP="00AA3C00">
            <w:pPr>
              <w:pBdr>
                <w:top w:val="none" w:sz="0" w:space="0" w:color="000000"/>
                <w:left w:val="none" w:sz="0" w:space="0" w:color="000000"/>
                <w:bottom w:val="none" w:sz="0" w:space="0" w:color="000000"/>
                <w:right w:val="none" w:sz="0" w:space="0" w:color="000000"/>
              </w:pBdr>
              <w:spacing w:before="100" w:after="100" w:line="360" w:lineRule="auto"/>
              <w:ind w:left="100" w:right="100" w:firstLine="25"/>
              <w:jc w:val="center"/>
              <w:rPr>
                <w:rFonts w:eastAsia="Times New Roman"/>
                <w:color w:val="000000"/>
                <w:szCs w:val="24"/>
              </w:rPr>
            </w:pPr>
            <w:r>
              <w:rPr>
                <w:rFonts w:eastAsia="Times New Roman"/>
                <w:color w:val="000000"/>
                <w:szCs w:val="24"/>
              </w:rPr>
              <w:t>.349</w:t>
            </w:r>
          </w:p>
        </w:tc>
      </w:tr>
    </w:tbl>
    <w:p w14:paraId="37574DF1" w14:textId="6D392319" w:rsidR="00D632A3" w:rsidRPr="005A6D28" w:rsidRDefault="00D632A3" w:rsidP="005A6D28">
      <w:r w:rsidRPr="000D1980">
        <w:rPr>
          <w:i/>
        </w:rPr>
        <w:t>Note</w:t>
      </w:r>
      <w:r w:rsidRPr="000D1980">
        <w:t>.</w:t>
      </w:r>
      <w:r>
        <w:t xml:space="preserve"> </w:t>
      </w:r>
      <w:r w:rsidRPr="00D632A3">
        <w:t>BDI-II=Beck Depression Inventory-II</w:t>
      </w:r>
      <w:r>
        <w:t xml:space="preserve">; </w:t>
      </w:r>
      <w:r w:rsidRPr="00D632A3">
        <w:t xml:space="preserve">EDI-2=Eating Disorder Inventory-2; </w:t>
      </w:r>
      <w:r w:rsidR="001F0B63">
        <w:t xml:space="preserve">HC=healthy controls; </w:t>
      </w:r>
      <w:r w:rsidRPr="00D632A3">
        <w:t>SCL-90-R=Symptom Checklist-90-Revised</w:t>
      </w:r>
      <w:r>
        <w:t>.</w:t>
      </w:r>
      <w:r w:rsidR="004D5673">
        <w:t xml:space="preserve"> Median (interquartile range) is reported for non-normally distributed parameters. </w:t>
      </w:r>
      <w:r w:rsidR="004D5673" w:rsidRPr="00C25079">
        <w:t xml:space="preserve">Group comparisons were performed using </w:t>
      </w:r>
      <w:r w:rsidR="004D5673">
        <w:t>ANCOVA with age as a covariate</w:t>
      </w:r>
      <w:r w:rsidR="004D5673" w:rsidRPr="00C25079">
        <w:t xml:space="preserve">. Asterisks indicate statistical significance (two-tailed): </w:t>
      </w:r>
      <w:r w:rsidR="004D5673" w:rsidRPr="00C25079">
        <w:rPr>
          <w:i/>
        </w:rPr>
        <w:t>p</w:t>
      </w:r>
      <w:r w:rsidR="004D5673" w:rsidRPr="00C25079">
        <w:t xml:space="preserve">&lt;.01 (**), </w:t>
      </w:r>
      <w:r w:rsidR="004D5673" w:rsidRPr="00C25079">
        <w:rPr>
          <w:i/>
        </w:rPr>
        <w:t>p</w:t>
      </w:r>
      <w:r w:rsidR="004D5673" w:rsidRPr="00C25079">
        <w:t>&lt;.05 (*).</w:t>
      </w:r>
    </w:p>
    <w:p w14:paraId="0606879A" w14:textId="65DB9E0B" w:rsidR="002358D4" w:rsidRDefault="002358D4">
      <w:pPr>
        <w:suppressAutoHyphens w:val="0"/>
        <w:spacing w:after="160" w:line="259" w:lineRule="auto"/>
        <w:ind w:firstLine="0"/>
        <w:jc w:val="left"/>
        <w:rPr>
          <w:rFonts w:cs="Lohit Devanagari"/>
          <w:b/>
          <w:i/>
          <w:iCs/>
          <w:szCs w:val="24"/>
        </w:rPr>
      </w:pPr>
      <w:r>
        <w:rPr>
          <w:rFonts w:cs="Lohit Devanagari"/>
          <w:b/>
          <w:i/>
          <w:iCs/>
          <w:szCs w:val="24"/>
        </w:rPr>
        <w:br w:type="page"/>
      </w:r>
    </w:p>
    <w:p w14:paraId="354B00A9" w14:textId="77777777" w:rsidR="00963B0B" w:rsidRDefault="00963B0B" w:rsidP="00963B0B">
      <w:pPr>
        <w:jc w:val="left"/>
        <w:rPr>
          <w:rFonts w:cs="Lohit Devanagari"/>
          <w:b/>
          <w:i/>
          <w:iCs/>
          <w:szCs w:val="24"/>
        </w:rPr>
        <w:sectPr w:rsidR="00963B0B" w:rsidSect="00963B0B">
          <w:pgSz w:w="11906" w:h="16838"/>
          <w:pgMar w:top="1417" w:right="1417" w:bottom="1134" w:left="1417" w:header="708" w:footer="708" w:gutter="0"/>
          <w:cols w:space="708"/>
          <w:docGrid w:linePitch="360"/>
        </w:sectPr>
      </w:pPr>
    </w:p>
    <w:p w14:paraId="3CE6DD67" w14:textId="4422C1B5" w:rsidR="003F74F3" w:rsidRDefault="003F74F3" w:rsidP="001B02E1">
      <w:pPr>
        <w:pStyle w:val="Heading3"/>
        <w:numPr>
          <w:ilvl w:val="0"/>
          <w:numId w:val="0"/>
        </w:numPr>
      </w:pPr>
      <w:r>
        <w:lastRenderedPageBreak/>
        <w:t>2.</w:t>
      </w:r>
      <w:r w:rsidR="004D5673">
        <w:t>2</w:t>
      </w:r>
      <w:r>
        <w:t xml:space="preserve">. </w:t>
      </w:r>
      <w:r w:rsidR="003D048A">
        <w:t>Blood glucose and hormone concentrations</w:t>
      </w:r>
    </w:p>
    <w:p w14:paraId="6062DD7E" w14:textId="44045B50" w:rsidR="00E554BD" w:rsidRPr="00E554BD" w:rsidRDefault="00E554BD" w:rsidP="001B02E1">
      <w:pPr>
        <w:pStyle w:val="Heading3"/>
        <w:numPr>
          <w:ilvl w:val="0"/>
          <w:numId w:val="0"/>
        </w:numPr>
      </w:pPr>
      <w:r>
        <w:t>2.</w:t>
      </w:r>
      <w:r w:rsidR="004D5673">
        <w:t>2</w:t>
      </w:r>
      <w:r>
        <w:t>.1. OC</w:t>
      </w:r>
      <w:r w:rsidR="00AF0120" w:rsidRPr="000D1980">
        <w:rPr>
          <w:vertAlign w:val="superscript"/>
        </w:rPr>
        <w:sym w:font="Symbol" w:char="F02D"/>
      </w:r>
      <w:r>
        <w:t xml:space="preserve"> groups</w:t>
      </w:r>
    </w:p>
    <w:p w14:paraId="63B81C5A" w14:textId="0114E4C9" w:rsidR="00E554BD" w:rsidRDefault="00E554BD" w:rsidP="00053C2C">
      <w:pPr>
        <w:pStyle w:val="Caption"/>
        <w:keepNext/>
        <w:spacing w:line="360" w:lineRule="auto"/>
        <w:ind w:firstLine="0"/>
      </w:pPr>
      <w:r>
        <w:rPr>
          <w:b/>
        </w:rPr>
        <w:t xml:space="preserve">Supplemental </w:t>
      </w:r>
      <w:r w:rsidRPr="004063F2">
        <w:rPr>
          <w:b/>
        </w:rPr>
        <w:t xml:space="preserve">Table </w:t>
      </w:r>
      <w:r>
        <w:rPr>
          <w:b/>
        </w:rPr>
        <w:t>4</w:t>
      </w:r>
      <w:r>
        <w:t xml:space="preserve">. Supplementary group comparisons of </w:t>
      </w:r>
      <w:r w:rsidR="00C93E96">
        <w:t>OC</w:t>
      </w:r>
      <w:r w:rsidR="00AF0120" w:rsidRPr="000D1980">
        <w:rPr>
          <w:vertAlign w:val="superscript"/>
        </w:rPr>
        <w:sym w:font="Symbol" w:char="F02D"/>
      </w:r>
      <w:r w:rsidR="00C93E96">
        <w:t xml:space="preserve"> groups before age-matching</w:t>
      </w:r>
      <w:r w:rsidRPr="00AF5666">
        <w:t>.</w:t>
      </w:r>
    </w:p>
    <w:tbl>
      <w:tblPr>
        <w:tblW w:w="5000" w:type="pct"/>
        <w:tblLook w:val="0420" w:firstRow="1" w:lastRow="0" w:firstColumn="0" w:lastColumn="0" w:noHBand="0" w:noVBand="1"/>
      </w:tblPr>
      <w:tblGrid>
        <w:gridCol w:w="2272"/>
        <w:gridCol w:w="2406"/>
        <w:gridCol w:w="2403"/>
        <w:gridCol w:w="2403"/>
        <w:gridCol w:w="2403"/>
        <w:gridCol w:w="2400"/>
      </w:tblGrid>
      <w:tr w:rsidR="00821AA2" w14:paraId="55B9060F" w14:textId="77777777" w:rsidTr="00821AA2">
        <w:trPr>
          <w:trHeight w:val="618"/>
          <w:tblHeader/>
        </w:trPr>
        <w:tc>
          <w:tcPr>
            <w:tcW w:w="795" w:type="pct"/>
            <w:tcBorders>
              <w:top w:val="single" w:sz="4" w:space="0" w:color="auto"/>
              <w:bottom w:val="single" w:sz="4" w:space="0" w:color="000000"/>
              <w:right w:val="none" w:sz="0" w:space="0" w:color="000000"/>
            </w:tcBorders>
            <w:shd w:val="clear" w:color="auto" w:fill="FFFFFF"/>
            <w:tcMar>
              <w:top w:w="0" w:type="dxa"/>
              <w:left w:w="0" w:type="dxa"/>
              <w:bottom w:w="0" w:type="dxa"/>
              <w:right w:w="0" w:type="dxa"/>
            </w:tcMar>
            <w:vAlign w:val="center"/>
          </w:tcPr>
          <w:p w14:paraId="32158DDF"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jc w:val="center"/>
              <w:rPr>
                <w:rFonts w:eastAsia="Times New Roman"/>
                <w:color w:val="000000"/>
              </w:rPr>
            </w:pPr>
          </w:p>
        </w:tc>
        <w:tc>
          <w:tcPr>
            <w:tcW w:w="842" w:type="pct"/>
            <w:tcBorders>
              <w:top w:val="single" w:sz="4" w:space="0" w:color="auto"/>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7808CB9" w14:textId="1E1FC11A" w:rsidR="00821AA2" w:rsidRPr="00306B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color w:val="000000"/>
                <w:szCs w:val="24"/>
              </w:rPr>
            </w:pPr>
            <w:r w:rsidRPr="00FD45BE">
              <w:rPr>
                <w:rFonts w:eastAsia="Times New Roman"/>
                <w:i/>
                <w:color w:val="000000"/>
                <w:szCs w:val="24"/>
              </w:rPr>
              <w:t>HC</w:t>
            </w:r>
            <w:r w:rsidRPr="000D1980">
              <w:rPr>
                <w:vertAlign w:val="superscript"/>
              </w:rPr>
              <w:sym w:font="Symbol" w:char="F02D"/>
            </w:r>
            <w:r w:rsidRPr="00FD45BE">
              <w:rPr>
                <w:rFonts w:eastAsia="Times New Roman"/>
                <w:i/>
                <w:color w:val="000000"/>
                <w:szCs w:val="24"/>
              </w:rPr>
              <w:t xml:space="preserve"> (N=65)</w:t>
            </w:r>
          </w:p>
        </w:tc>
        <w:tc>
          <w:tcPr>
            <w:tcW w:w="841" w:type="pct"/>
            <w:tcBorders>
              <w:top w:val="single" w:sz="4" w:space="0" w:color="auto"/>
              <w:left w:val="none" w:sz="0" w:space="0" w:color="000000"/>
              <w:bottom w:val="single" w:sz="4" w:space="0" w:color="000000"/>
              <w:right w:val="none" w:sz="0" w:space="0" w:color="000000"/>
            </w:tcBorders>
            <w:shd w:val="clear" w:color="auto" w:fill="FFFFFF"/>
            <w:vAlign w:val="center"/>
          </w:tcPr>
          <w:p w14:paraId="7A5F0E95" w14:textId="4CB1BF5A" w:rsidR="00821AA2" w:rsidRPr="009629A7"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i/>
                <w:color w:val="000000"/>
                <w:szCs w:val="24"/>
              </w:rPr>
            </w:pPr>
            <w:proofErr w:type="spellStart"/>
            <w:r>
              <w:rPr>
                <w:rFonts w:eastAsia="Times New Roman"/>
                <w:i/>
                <w:color w:val="000000"/>
              </w:rPr>
              <w:t>recAN</w:t>
            </w:r>
            <w:proofErr w:type="spellEnd"/>
            <w:r w:rsidRPr="000D1980">
              <w:rPr>
                <w:vertAlign w:val="superscript"/>
              </w:rPr>
              <w:sym w:font="Symbol" w:char="F02D"/>
            </w:r>
            <w:r w:rsidRPr="00FD45BE">
              <w:rPr>
                <w:rFonts w:eastAsia="Times New Roman"/>
                <w:i/>
                <w:color w:val="000000"/>
              </w:rPr>
              <w:t xml:space="preserve"> (N=35</w:t>
            </w:r>
            <w:r>
              <w:rPr>
                <w:rFonts w:eastAsia="Times New Roman"/>
                <w:i/>
                <w:color w:val="000000"/>
              </w:rPr>
              <w:t>)</w:t>
            </w:r>
          </w:p>
        </w:tc>
        <w:tc>
          <w:tcPr>
            <w:tcW w:w="841" w:type="pct"/>
            <w:tcBorders>
              <w:top w:val="single" w:sz="4" w:space="0" w:color="auto"/>
              <w:left w:val="none" w:sz="0" w:space="0" w:color="000000"/>
              <w:bottom w:val="single" w:sz="4" w:space="0" w:color="000000"/>
              <w:right w:val="none" w:sz="0" w:space="0" w:color="000000"/>
            </w:tcBorders>
            <w:shd w:val="clear" w:color="auto" w:fill="FFFFFF"/>
            <w:vAlign w:val="center"/>
          </w:tcPr>
          <w:p w14:paraId="29A362E9" w14:textId="6180BDD7" w:rsidR="00821AA2" w:rsidRPr="009629A7"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i/>
                <w:color w:val="000000"/>
                <w:szCs w:val="24"/>
              </w:rPr>
            </w:pPr>
            <w:r w:rsidRPr="009629A7">
              <w:rPr>
                <w:rFonts w:eastAsia="Times New Roman"/>
                <w:i/>
                <w:color w:val="000000"/>
                <w:szCs w:val="24"/>
              </w:rPr>
              <w:t>ANCOVA</w:t>
            </w:r>
          </w:p>
        </w:tc>
        <w:tc>
          <w:tcPr>
            <w:tcW w:w="841" w:type="pct"/>
            <w:tcBorders>
              <w:top w:val="single" w:sz="4" w:space="0" w:color="auto"/>
              <w:left w:val="none" w:sz="0" w:space="0" w:color="000000"/>
              <w:bottom w:val="single" w:sz="4" w:space="0" w:color="000000"/>
            </w:tcBorders>
            <w:shd w:val="clear" w:color="auto" w:fill="FFFFFF"/>
            <w:vAlign w:val="center"/>
          </w:tcPr>
          <w:p w14:paraId="7C1645FB" w14:textId="388B2570" w:rsidR="00821AA2" w:rsidRPr="009629A7"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i/>
                <w:color w:val="000000"/>
                <w:szCs w:val="24"/>
              </w:rPr>
            </w:pPr>
            <w:r w:rsidRPr="00130076">
              <w:rPr>
                <w:rFonts w:eastAsia="Times New Roman"/>
                <w:i/>
                <w:color w:val="000000"/>
                <w:szCs w:val="24"/>
              </w:rPr>
              <w:t>FDR</w:t>
            </w:r>
          </w:p>
        </w:tc>
        <w:tc>
          <w:tcPr>
            <w:tcW w:w="840" w:type="pct"/>
            <w:vMerge w:val="restart"/>
            <w:tcBorders>
              <w:top w:val="single" w:sz="4" w:space="0" w:color="auto"/>
            </w:tcBorders>
            <w:shd w:val="clear" w:color="auto" w:fill="FFFFFF"/>
            <w:vAlign w:val="center"/>
          </w:tcPr>
          <w:p w14:paraId="7D879701" w14:textId="4D27FA0D" w:rsidR="00821AA2" w:rsidRPr="004D5673"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iCs/>
                <w:color w:val="000000"/>
                <w:szCs w:val="24"/>
              </w:rPr>
            </w:pPr>
            <w:r w:rsidRPr="004D5673">
              <w:rPr>
                <w:rFonts w:eastAsia="Times New Roman"/>
                <w:b/>
                <w:i/>
                <w:iCs/>
                <w:color w:val="000000"/>
                <w:szCs w:val="24"/>
              </w:rPr>
              <w:t>BF</w:t>
            </w:r>
            <w:r w:rsidRPr="004D5673">
              <w:rPr>
                <w:rFonts w:eastAsia="Times New Roman"/>
                <w:b/>
                <w:i/>
                <w:iCs/>
                <w:color w:val="000000"/>
                <w:szCs w:val="24"/>
                <w:vertAlign w:val="subscript"/>
              </w:rPr>
              <w:t>01</w:t>
            </w:r>
          </w:p>
        </w:tc>
      </w:tr>
      <w:tr w:rsidR="00821AA2" w14:paraId="1179EF03" w14:textId="77777777" w:rsidTr="00821AA2">
        <w:trPr>
          <w:trHeight w:val="618"/>
          <w:tblHeader/>
        </w:trPr>
        <w:tc>
          <w:tcPr>
            <w:tcW w:w="795" w:type="pct"/>
            <w:tcBorders>
              <w:top w:val="single" w:sz="4"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48AF74A7"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jc w:val="center"/>
              <w:rPr>
                <w:rFonts w:eastAsia="Times New Roman"/>
                <w:color w:val="000000"/>
              </w:rPr>
            </w:pPr>
          </w:p>
        </w:tc>
        <w:tc>
          <w:tcPr>
            <w:tcW w:w="842" w:type="pct"/>
            <w:tcBorders>
              <w:top w:val="single" w:sz="4"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36B57E59" w14:textId="06E9FFDB" w:rsidR="00821AA2" w:rsidRPr="00306B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b/>
                <w:color w:val="000000"/>
                <w:shd w:val="clear" w:color="auto" w:fill="FFFFFF"/>
              </w:rPr>
            </w:pPr>
            <w:proofErr w:type="spellStart"/>
            <w:r w:rsidRPr="00306B70">
              <w:rPr>
                <w:rFonts w:eastAsia="Times New Roman"/>
                <w:b/>
                <w:color w:val="000000"/>
                <w:szCs w:val="24"/>
              </w:rPr>
              <w:t>Mean</w:t>
            </w:r>
            <w:r>
              <w:rPr>
                <w:rFonts w:eastAsia="Times New Roman"/>
                <w:b/>
                <w:color w:val="000000"/>
                <w:szCs w:val="24"/>
              </w:rPr>
              <w:t>±</w:t>
            </w:r>
            <w:r w:rsidRPr="00306B70">
              <w:rPr>
                <w:b/>
                <w:color w:val="000000"/>
                <w:shd w:val="clear" w:color="auto" w:fill="FFFFFF"/>
              </w:rPr>
              <w:t>SD</w:t>
            </w:r>
            <w:proofErr w:type="spellEnd"/>
          </w:p>
          <w:p w14:paraId="6BBCF0B3" w14:textId="77777777" w:rsidR="00821AA2" w:rsidRPr="000439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b/>
                <w:color w:val="000000"/>
              </w:rPr>
            </w:pPr>
            <w:r w:rsidRPr="00306B70">
              <w:rPr>
                <w:rFonts w:eastAsia="Times New Roman"/>
                <w:b/>
                <w:color w:val="000000"/>
                <w:szCs w:val="24"/>
              </w:rPr>
              <w:t>Median (IQR)</w:t>
            </w:r>
          </w:p>
        </w:tc>
        <w:tc>
          <w:tcPr>
            <w:tcW w:w="841" w:type="pct"/>
            <w:tcBorders>
              <w:top w:val="single" w:sz="4" w:space="0" w:color="000000"/>
              <w:left w:val="none" w:sz="0" w:space="0" w:color="000000"/>
              <w:bottom w:val="single" w:sz="4" w:space="0" w:color="000000"/>
              <w:right w:val="none" w:sz="0" w:space="0" w:color="000000"/>
            </w:tcBorders>
            <w:shd w:val="clear" w:color="auto" w:fill="FFFFFF"/>
            <w:vAlign w:val="center"/>
          </w:tcPr>
          <w:p w14:paraId="5A06B45D" w14:textId="77777777" w:rsidR="00821AA2" w:rsidRPr="00306B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b/>
                <w:color w:val="000000"/>
                <w:shd w:val="clear" w:color="auto" w:fill="FFFFFF"/>
              </w:rPr>
            </w:pPr>
            <w:proofErr w:type="spellStart"/>
            <w:r w:rsidRPr="00306B70">
              <w:rPr>
                <w:rFonts w:eastAsia="Times New Roman"/>
                <w:b/>
                <w:color w:val="000000"/>
                <w:szCs w:val="24"/>
              </w:rPr>
              <w:t>Mean</w:t>
            </w:r>
            <w:r>
              <w:rPr>
                <w:rFonts w:eastAsia="Times New Roman"/>
                <w:b/>
                <w:color w:val="000000"/>
                <w:szCs w:val="24"/>
              </w:rPr>
              <w:t>±</w:t>
            </w:r>
            <w:r w:rsidRPr="00306B70">
              <w:rPr>
                <w:b/>
                <w:color w:val="000000"/>
                <w:shd w:val="clear" w:color="auto" w:fill="FFFFFF"/>
              </w:rPr>
              <w:t>SD</w:t>
            </w:r>
            <w:proofErr w:type="spellEnd"/>
          </w:p>
          <w:p w14:paraId="66319526" w14:textId="4E42375D"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sidRPr="00306B70">
              <w:rPr>
                <w:rFonts w:eastAsia="Times New Roman"/>
                <w:b/>
                <w:color w:val="000000"/>
                <w:szCs w:val="24"/>
              </w:rPr>
              <w:t>Median (IQR)</w:t>
            </w:r>
          </w:p>
        </w:tc>
        <w:tc>
          <w:tcPr>
            <w:tcW w:w="841" w:type="pct"/>
            <w:tcBorders>
              <w:top w:val="single" w:sz="4" w:space="0" w:color="000000"/>
              <w:left w:val="none" w:sz="0" w:space="0" w:color="000000"/>
              <w:bottom w:val="single" w:sz="4" w:space="0" w:color="000000"/>
              <w:right w:val="none" w:sz="0" w:space="0" w:color="000000"/>
            </w:tcBorders>
            <w:shd w:val="clear" w:color="auto" w:fill="FFFFFF"/>
            <w:vAlign w:val="center"/>
          </w:tcPr>
          <w:p w14:paraId="3C1F67C6" w14:textId="48C4BB4D" w:rsidR="00821AA2" w:rsidRPr="00BC077C"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Pr>
                <w:rFonts w:eastAsia="Times New Roman"/>
                <w:b/>
                <w:i/>
                <w:color w:val="000000"/>
                <w:szCs w:val="24"/>
              </w:rPr>
              <w:t>p</w:t>
            </w:r>
          </w:p>
        </w:tc>
        <w:tc>
          <w:tcPr>
            <w:tcW w:w="841" w:type="pct"/>
            <w:tcBorders>
              <w:top w:val="single" w:sz="4" w:space="0" w:color="000000"/>
              <w:left w:val="none" w:sz="0" w:space="0" w:color="000000"/>
              <w:bottom w:val="single" w:sz="4" w:space="0" w:color="000000"/>
            </w:tcBorders>
            <w:shd w:val="clear" w:color="auto" w:fill="FFFFFF"/>
            <w:vAlign w:val="center"/>
          </w:tcPr>
          <w:p w14:paraId="1BDCDEA3" w14:textId="35C910FE" w:rsidR="00821AA2" w:rsidRPr="00BC077C"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Pr>
                <w:rFonts w:eastAsia="Times New Roman"/>
                <w:b/>
                <w:i/>
                <w:color w:val="000000"/>
                <w:szCs w:val="24"/>
              </w:rPr>
              <w:t>p</w:t>
            </w:r>
          </w:p>
        </w:tc>
        <w:tc>
          <w:tcPr>
            <w:tcW w:w="840" w:type="pct"/>
            <w:vMerge/>
            <w:tcBorders>
              <w:bottom w:val="single" w:sz="4" w:space="0" w:color="000000"/>
            </w:tcBorders>
            <w:shd w:val="clear" w:color="auto" w:fill="FFFFFF"/>
            <w:vAlign w:val="center"/>
          </w:tcPr>
          <w:p w14:paraId="0355E68A" w14:textId="4AAB7897" w:rsidR="00821AA2" w:rsidRPr="00306B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color w:val="000000"/>
                <w:szCs w:val="24"/>
              </w:rPr>
            </w:pPr>
          </w:p>
        </w:tc>
      </w:tr>
      <w:tr w:rsidR="00821AA2" w14:paraId="4F74BE5C" w14:textId="77777777" w:rsidTr="00821AA2">
        <w:trPr>
          <w:trHeight w:val="618"/>
        </w:trPr>
        <w:tc>
          <w:tcPr>
            <w:tcW w:w="795"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DD30662" w14:textId="4DFE5A45" w:rsidR="00821AA2" w:rsidRPr="000439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Glucose</w:t>
            </w:r>
            <w:r>
              <w:rPr>
                <w:rFonts w:eastAsia="Times New Roman"/>
                <w:b/>
                <w:color w:val="000000"/>
                <w:szCs w:val="24"/>
              </w:rPr>
              <w:t xml:space="preserve"> </w:t>
            </w:r>
            <w:r>
              <w:rPr>
                <w:b/>
              </w:rPr>
              <w:t>(</w:t>
            </w:r>
            <w:r w:rsidRPr="004D5673">
              <w:rPr>
                <w:b/>
              </w:rPr>
              <w:t>mmol/l</w:t>
            </w:r>
            <w:r>
              <w:rPr>
                <w:b/>
              </w:rPr>
              <w:t>)</w:t>
            </w:r>
          </w:p>
        </w:tc>
        <w:tc>
          <w:tcPr>
            <w:tcW w:w="842"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F24807" w14:textId="4F7FB6AB"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5.12±</w:t>
            </w:r>
            <w:r>
              <w:rPr>
                <w:color w:val="000000"/>
                <w:shd w:val="clear" w:color="auto" w:fill="FFFFFF"/>
              </w:rPr>
              <w:t>0.44</w:t>
            </w:r>
          </w:p>
        </w:tc>
        <w:tc>
          <w:tcPr>
            <w:tcW w:w="841" w:type="pct"/>
            <w:tcBorders>
              <w:top w:val="single" w:sz="4" w:space="0" w:color="000000"/>
              <w:left w:val="none" w:sz="0" w:space="0" w:color="000000"/>
              <w:bottom w:val="none" w:sz="0" w:space="0" w:color="000000"/>
              <w:right w:val="none" w:sz="0" w:space="0" w:color="000000"/>
            </w:tcBorders>
            <w:shd w:val="clear" w:color="auto" w:fill="FFFFFF"/>
            <w:vAlign w:val="center"/>
          </w:tcPr>
          <w:p w14:paraId="36AF0DE1" w14:textId="5D52D3FC"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Pr>
                <w:rFonts w:eastAsia="Times New Roman"/>
                <w:color w:val="000000"/>
              </w:rPr>
              <w:t>5.01±0.34</w:t>
            </w:r>
          </w:p>
        </w:tc>
        <w:tc>
          <w:tcPr>
            <w:tcW w:w="841" w:type="pct"/>
            <w:tcBorders>
              <w:top w:val="single" w:sz="4" w:space="0" w:color="000000"/>
              <w:left w:val="none" w:sz="0" w:space="0" w:color="000000"/>
              <w:bottom w:val="none" w:sz="0" w:space="0" w:color="000000"/>
              <w:right w:val="none" w:sz="0" w:space="0" w:color="000000"/>
            </w:tcBorders>
            <w:shd w:val="clear" w:color="auto" w:fill="FFFFFF"/>
            <w:vAlign w:val="center"/>
          </w:tcPr>
          <w:p w14:paraId="3C3AE727" w14:textId="7600B596"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Pr>
                <w:rFonts w:eastAsia="Times New Roman"/>
                <w:color w:val="000000"/>
                <w:szCs w:val="24"/>
              </w:rPr>
              <w:t>.949</w:t>
            </w:r>
          </w:p>
        </w:tc>
        <w:tc>
          <w:tcPr>
            <w:tcW w:w="841" w:type="pct"/>
            <w:tcBorders>
              <w:top w:val="single" w:sz="4" w:space="0" w:color="000000"/>
              <w:left w:val="none" w:sz="0" w:space="0" w:color="000000"/>
              <w:bottom w:val="none" w:sz="0" w:space="0" w:color="000000"/>
              <w:right w:val="none" w:sz="0" w:space="0" w:color="000000"/>
            </w:tcBorders>
            <w:shd w:val="clear" w:color="auto" w:fill="FFFFFF"/>
            <w:vAlign w:val="center"/>
          </w:tcPr>
          <w:p w14:paraId="3AC2900C"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Pr>
                <w:rFonts w:eastAsia="Times New Roman"/>
                <w:color w:val="000000"/>
                <w:szCs w:val="24"/>
              </w:rPr>
              <w:t>.949</w:t>
            </w:r>
          </w:p>
        </w:tc>
        <w:tc>
          <w:tcPr>
            <w:tcW w:w="840" w:type="pct"/>
            <w:tcBorders>
              <w:top w:val="single" w:sz="4" w:space="0" w:color="000000"/>
              <w:left w:val="none" w:sz="0" w:space="0" w:color="000000"/>
              <w:bottom w:val="none" w:sz="0" w:space="0" w:color="000000"/>
              <w:right w:val="none" w:sz="0" w:space="0" w:color="000000"/>
            </w:tcBorders>
            <w:shd w:val="clear" w:color="auto" w:fill="FFFFFF"/>
            <w:vAlign w:val="center"/>
          </w:tcPr>
          <w:p w14:paraId="551CDDC5"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Pr>
                <w:rFonts w:eastAsia="Times New Roman"/>
                <w:color w:val="000000"/>
                <w:szCs w:val="24"/>
              </w:rPr>
              <w:t>2.691</w:t>
            </w:r>
          </w:p>
        </w:tc>
      </w:tr>
      <w:tr w:rsidR="00821AA2" w14:paraId="2E84049F" w14:textId="77777777" w:rsidTr="00821AA2">
        <w:trPr>
          <w:trHeight w:val="630"/>
        </w:trPr>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CB7A98F" w14:textId="68CCBD6D" w:rsidR="00821AA2" w:rsidRPr="000439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Insulin</w:t>
            </w:r>
            <w:r>
              <w:rPr>
                <w:rFonts w:eastAsia="Times New Roman"/>
                <w:b/>
                <w:color w:val="000000"/>
                <w:szCs w:val="24"/>
              </w:rPr>
              <w:t xml:space="preserve"> </w:t>
            </w:r>
            <w:r>
              <w:rPr>
                <w:b/>
              </w:rPr>
              <w:t>(</w:t>
            </w:r>
            <w:proofErr w:type="spellStart"/>
            <w:r>
              <w:rPr>
                <w:b/>
              </w:rPr>
              <w:t>pM</w:t>
            </w:r>
            <w:proofErr w:type="spellEnd"/>
            <w:r>
              <w:rPr>
                <w:b/>
              </w:rPr>
              <w:t>)</w:t>
            </w:r>
          </w:p>
        </w:tc>
        <w:tc>
          <w:tcPr>
            <w:tcW w:w="8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B15910A"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35.90 (20.56)</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4161DB2C" w14:textId="4D9B4549"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rFonts w:eastAsia="Times New Roman"/>
                <w:color w:val="000000"/>
              </w:rPr>
              <w:t>28.44 (13.62)</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5AFB70AB" w14:textId="71D4934D"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.393</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7B1E369F"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.786</w:t>
            </w:r>
          </w:p>
        </w:tc>
        <w:tc>
          <w:tcPr>
            <w:tcW w:w="840" w:type="pct"/>
            <w:tcBorders>
              <w:top w:val="none" w:sz="0" w:space="0" w:color="000000"/>
              <w:left w:val="none" w:sz="0" w:space="0" w:color="000000"/>
              <w:bottom w:val="none" w:sz="0" w:space="0" w:color="000000"/>
              <w:right w:val="none" w:sz="0" w:space="0" w:color="000000"/>
            </w:tcBorders>
            <w:shd w:val="clear" w:color="auto" w:fill="FFFFFF"/>
          </w:tcPr>
          <w:p w14:paraId="51225E2F"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92.255</w:t>
            </w:r>
          </w:p>
        </w:tc>
      </w:tr>
      <w:tr w:rsidR="00821AA2" w14:paraId="25524DE4" w14:textId="77777777" w:rsidTr="00821AA2">
        <w:trPr>
          <w:trHeight w:val="618"/>
        </w:trPr>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9B20F8C" w14:textId="24A950CD" w:rsidR="00821AA2" w:rsidRPr="000439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GIP</w:t>
            </w:r>
            <w:r>
              <w:rPr>
                <w:rFonts w:eastAsia="Times New Roman"/>
                <w:b/>
                <w:color w:val="000000"/>
                <w:szCs w:val="24"/>
              </w:rPr>
              <w:t xml:space="preserve"> </w:t>
            </w:r>
            <w:r>
              <w:rPr>
                <w:b/>
              </w:rPr>
              <w:t>(</w:t>
            </w:r>
            <w:proofErr w:type="spellStart"/>
            <w:r>
              <w:rPr>
                <w:b/>
              </w:rPr>
              <w:t>pM</w:t>
            </w:r>
            <w:proofErr w:type="spellEnd"/>
            <w:r>
              <w:rPr>
                <w:b/>
              </w:rPr>
              <w:t>)</w:t>
            </w:r>
          </w:p>
        </w:tc>
        <w:tc>
          <w:tcPr>
            <w:tcW w:w="8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91BF123"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5.34 (3.79)</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4FA2D803" w14:textId="58BDDA15"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rFonts w:eastAsia="Times New Roman"/>
                <w:color w:val="000000"/>
              </w:rPr>
              <w:t>4.81 (3.31)</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3B2C8A71" w14:textId="15F930E3"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.758</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36C7EAE4"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.916</w:t>
            </w:r>
          </w:p>
        </w:tc>
        <w:tc>
          <w:tcPr>
            <w:tcW w:w="840" w:type="pct"/>
            <w:tcBorders>
              <w:top w:val="none" w:sz="0" w:space="0" w:color="000000"/>
              <w:left w:val="none" w:sz="0" w:space="0" w:color="000000"/>
              <w:bottom w:val="none" w:sz="0" w:space="0" w:color="000000"/>
              <w:right w:val="none" w:sz="0" w:space="0" w:color="000000"/>
            </w:tcBorders>
            <w:shd w:val="clear" w:color="auto" w:fill="FFFFFF"/>
          </w:tcPr>
          <w:p w14:paraId="2E8AFE80"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4.438</w:t>
            </w:r>
          </w:p>
        </w:tc>
      </w:tr>
      <w:tr w:rsidR="00821AA2" w14:paraId="6F0D8BC2" w14:textId="77777777" w:rsidTr="00821AA2">
        <w:trPr>
          <w:trHeight w:val="618"/>
        </w:trPr>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182F20D" w14:textId="75EBC63F" w:rsidR="00821AA2" w:rsidRPr="00510BFD"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color w:val="000000"/>
              </w:rPr>
            </w:pPr>
            <w:r w:rsidRPr="00043970">
              <w:rPr>
                <w:rFonts w:eastAsia="Times New Roman"/>
                <w:b/>
                <w:color w:val="000000"/>
                <w:szCs w:val="24"/>
              </w:rPr>
              <w:t>GLP-1</w:t>
            </w:r>
            <w:r>
              <w:rPr>
                <w:rFonts w:eastAsia="Times New Roman"/>
                <w:b/>
                <w:color w:val="000000"/>
                <w:szCs w:val="24"/>
              </w:rPr>
              <w:t xml:space="preserve"> </w:t>
            </w:r>
            <w:r>
              <w:rPr>
                <w:b/>
              </w:rPr>
              <w:t>(</w:t>
            </w:r>
            <w:proofErr w:type="spellStart"/>
            <w:r>
              <w:rPr>
                <w:b/>
              </w:rPr>
              <w:t>pM</w:t>
            </w:r>
            <w:proofErr w:type="spellEnd"/>
            <w:r>
              <w:rPr>
                <w:b/>
              </w:rPr>
              <w:t>)</w:t>
            </w:r>
          </w:p>
        </w:tc>
        <w:tc>
          <w:tcPr>
            <w:tcW w:w="8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FE7DA15"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3.46 (1.53)</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4F6FFDD7" w14:textId="06644C4C"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4.08 (1.93)</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1C8CCD09" w14:textId="7441C786"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.192</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60A2A344"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.576</w:t>
            </w:r>
          </w:p>
        </w:tc>
        <w:tc>
          <w:tcPr>
            <w:tcW w:w="840" w:type="pct"/>
            <w:tcBorders>
              <w:top w:val="none" w:sz="0" w:space="0" w:color="000000"/>
              <w:left w:val="none" w:sz="0" w:space="0" w:color="000000"/>
              <w:bottom w:val="none" w:sz="0" w:space="0" w:color="000000"/>
              <w:right w:val="none" w:sz="0" w:space="0" w:color="000000"/>
            </w:tcBorders>
            <w:shd w:val="clear" w:color="auto" w:fill="FFFFFF"/>
          </w:tcPr>
          <w:p w14:paraId="5A5E4F1A"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1.000</w:t>
            </w:r>
          </w:p>
        </w:tc>
      </w:tr>
      <w:tr w:rsidR="00821AA2" w14:paraId="4A80EDCC" w14:textId="77777777" w:rsidTr="00821AA2">
        <w:trPr>
          <w:trHeight w:val="630"/>
        </w:trPr>
        <w:tc>
          <w:tcPr>
            <w:tcW w:w="795"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5B78038" w14:textId="2FEC525C" w:rsidR="00821AA2" w:rsidRPr="000439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Glicentin</w:t>
            </w:r>
            <w:r>
              <w:rPr>
                <w:rFonts w:eastAsia="Times New Roman"/>
                <w:b/>
                <w:color w:val="000000"/>
                <w:szCs w:val="24"/>
              </w:rPr>
              <w:t xml:space="preserve"> </w:t>
            </w:r>
            <w:r>
              <w:rPr>
                <w:b/>
              </w:rPr>
              <w:t>(</w:t>
            </w:r>
            <w:proofErr w:type="spellStart"/>
            <w:r>
              <w:rPr>
                <w:b/>
              </w:rPr>
              <w:t>pM</w:t>
            </w:r>
            <w:proofErr w:type="spellEnd"/>
            <w:r>
              <w:rPr>
                <w:b/>
              </w:rPr>
              <w:t>)</w:t>
            </w:r>
          </w:p>
        </w:tc>
        <w:tc>
          <w:tcPr>
            <w:tcW w:w="842"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244C3C9"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27.59 (18.92)</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7CF4CEC0" w14:textId="50CFABF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rFonts w:eastAsia="Times New Roman"/>
                <w:color w:val="000000"/>
              </w:rPr>
              <w:t>28.44 (24.03)</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08B02F40" w14:textId="2DFAC706"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.763</w:t>
            </w:r>
          </w:p>
        </w:tc>
        <w:tc>
          <w:tcPr>
            <w:tcW w:w="841" w:type="pct"/>
            <w:tcBorders>
              <w:top w:val="none" w:sz="0" w:space="0" w:color="000000"/>
              <w:left w:val="none" w:sz="0" w:space="0" w:color="000000"/>
              <w:bottom w:val="none" w:sz="0" w:space="0" w:color="000000"/>
              <w:right w:val="none" w:sz="0" w:space="0" w:color="000000"/>
            </w:tcBorders>
            <w:shd w:val="clear" w:color="auto" w:fill="FFFFFF"/>
          </w:tcPr>
          <w:p w14:paraId="6A115435"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.916</w:t>
            </w:r>
          </w:p>
        </w:tc>
        <w:tc>
          <w:tcPr>
            <w:tcW w:w="840" w:type="pct"/>
            <w:tcBorders>
              <w:top w:val="none" w:sz="0" w:space="0" w:color="000000"/>
              <w:left w:val="none" w:sz="0" w:space="0" w:color="000000"/>
              <w:bottom w:val="none" w:sz="0" w:space="0" w:color="000000"/>
              <w:right w:val="none" w:sz="0" w:space="0" w:color="000000"/>
            </w:tcBorders>
            <w:shd w:val="clear" w:color="auto" w:fill="FFFFFF"/>
          </w:tcPr>
          <w:p w14:paraId="35D86AAB"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2.493</w:t>
            </w:r>
          </w:p>
        </w:tc>
      </w:tr>
      <w:tr w:rsidR="00821AA2" w14:paraId="486709AD" w14:textId="77777777" w:rsidTr="00821AA2">
        <w:trPr>
          <w:trHeight w:val="618"/>
        </w:trPr>
        <w:tc>
          <w:tcPr>
            <w:tcW w:w="795"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4F2F967B" w14:textId="0668B264" w:rsidR="00821AA2" w:rsidRPr="00043970"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Glucagon</w:t>
            </w:r>
            <w:r>
              <w:rPr>
                <w:rFonts w:eastAsia="Times New Roman"/>
                <w:b/>
                <w:color w:val="000000"/>
                <w:szCs w:val="24"/>
              </w:rPr>
              <w:t xml:space="preserve"> </w:t>
            </w:r>
            <w:r>
              <w:rPr>
                <w:b/>
              </w:rPr>
              <w:t>(</w:t>
            </w:r>
            <w:proofErr w:type="spellStart"/>
            <w:r>
              <w:rPr>
                <w:b/>
              </w:rPr>
              <w:t>pM</w:t>
            </w:r>
            <w:proofErr w:type="spellEnd"/>
            <w:r>
              <w:rPr>
                <w:b/>
              </w:rPr>
              <w:t>)</w:t>
            </w:r>
          </w:p>
        </w:tc>
        <w:tc>
          <w:tcPr>
            <w:tcW w:w="842"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3F52115"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4.52 (2.76)</w:t>
            </w:r>
          </w:p>
        </w:tc>
        <w:tc>
          <w:tcPr>
            <w:tcW w:w="841" w:type="pct"/>
            <w:tcBorders>
              <w:top w:val="none" w:sz="0" w:space="0" w:color="000000"/>
              <w:left w:val="none" w:sz="0" w:space="0" w:color="000000"/>
              <w:bottom w:val="single" w:sz="4" w:space="0" w:color="000000"/>
              <w:right w:val="none" w:sz="0" w:space="0" w:color="000000"/>
            </w:tcBorders>
            <w:shd w:val="clear" w:color="auto" w:fill="FFFFFF"/>
          </w:tcPr>
          <w:p w14:paraId="38FE5955" w14:textId="4A0510F3"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rFonts w:eastAsia="Times New Roman"/>
                <w:color w:val="000000"/>
              </w:rPr>
              <w:t>3.69 (2.44)</w:t>
            </w:r>
          </w:p>
        </w:tc>
        <w:tc>
          <w:tcPr>
            <w:tcW w:w="841" w:type="pct"/>
            <w:tcBorders>
              <w:top w:val="none" w:sz="0" w:space="0" w:color="000000"/>
              <w:left w:val="none" w:sz="0" w:space="0" w:color="000000"/>
              <w:bottom w:val="single" w:sz="4" w:space="0" w:color="000000"/>
              <w:right w:val="none" w:sz="0" w:space="0" w:color="000000"/>
            </w:tcBorders>
            <w:shd w:val="clear" w:color="auto" w:fill="FFFFFF"/>
          </w:tcPr>
          <w:p w14:paraId="66DECD7E" w14:textId="30F33546"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.078</w:t>
            </w:r>
          </w:p>
        </w:tc>
        <w:tc>
          <w:tcPr>
            <w:tcW w:w="841" w:type="pct"/>
            <w:tcBorders>
              <w:top w:val="none" w:sz="0" w:space="0" w:color="000000"/>
              <w:left w:val="none" w:sz="0" w:space="0" w:color="000000"/>
              <w:bottom w:val="single" w:sz="4" w:space="0" w:color="000000"/>
              <w:right w:val="none" w:sz="0" w:space="0" w:color="000000"/>
            </w:tcBorders>
            <w:shd w:val="clear" w:color="auto" w:fill="FFFFFF"/>
          </w:tcPr>
          <w:p w14:paraId="0C7E5942"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.468</w:t>
            </w:r>
          </w:p>
        </w:tc>
        <w:tc>
          <w:tcPr>
            <w:tcW w:w="840" w:type="pct"/>
            <w:tcBorders>
              <w:top w:val="none" w:sz="0" w:space="0" w:color="000000"/>
              <w:left w:val="none" w:sz="0" w:space="0" w:color="000000"/>
              <w:bottom w:val="single" w:sz="4" w:space="0" w:color="000000"/>
              <w:right w:val="none" w:sz="0" w:space="0" w:color="000000"/>
            </w:tcBorders>
            <w:shd w:val="clear" w:color="auto" w:fill="FFFFFF"/>
          </w:tcPr>
          <w:p w14:paraId="6632DD77" w14:textId="77777777" w:rsidR="00821AA2" w:rsidRDefault="00821AA2" w:rsidP="00821AA2">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1.000</w:t>
            </w:r>
          </w:p>
        </w:tc>
      </w:tr>
    </w:tbl>
    <w:p w14:paraId="2684E97E" w14:textId="52B69DEC" w:rsidR="00E554BD" w:rsidRDefault="00E554BD" w:rsidP="00AF4822">
      <w:r w:rsidRPr="00FF210E">
        <w:rPr>
          <w:i/>
        </w:rPr>
        <w:t>Note.</w:t>
      </w:r>
      <w:r>
        <w:t xml:space="preserve"> </w:t>
      </w:r>
      <w:r w:rsidR="00AF4822">
        <w:softHyphen/>
        <w:t>GIP=</w:t>
      </w:r>
      <w:r w:rsidR="00AF4822" w:rsidRPr="002F4589">
        <w:rPr>
          <w:szCs w:val="24"/>
        </w:rPr>
        <w:t>glucose-dependent insulinotropic polypeptide</w:t>
      </w:r>
      <w:r w:rsidR="00AF4822">
        <w:rPr>
          <w:szCs w:val="24"/>
        </w:rPr>
        <w:t>; GLP-1=</w:t>
      </w:r>
      <w:r w:rsidR="00AF4822" w:rsidRPr="00904B97">
        <w:rPr>
          <w:szCs w:val="24"/>
        </w:rPr>
        <w:t xml:space="preserve"> </w:t>
      </w:r>
      <w:r w:rsidR="00AF4822" w:rsidRPr="002F4589">
        <w:rPr>
          <w:szCs w:val="24"/>
        </w:rPr>
        <w:t>glucagon-like peptide-</w:t>
      </w:r>
      <w:r w:rsidR="00AF4822">
        <w:rPr>
          <w:szCs w:val="24"/>
        </w:rPr>
        <w:t>1</w:t>
      </w:r>
      <w:r w:rsidR="00AF4822">
        <w:t xml:space="preserve">; </w:t>
      </w:r>
      <w:r>
        <w:t>HC=healthy controls</w:t>
      </w:r>
      <w:r w:rsidR="00CB3C10">
        <w:t>;</w:t>
      </w:r>
      <w:r w:rsidR="00A15484" w:rsidRPr="00A15484">
        <w:t xml:space="preserve"> </w:t>
      </w:r>
      <w:r w:rsidR="00A15484">
        <w:t>mmol/l=</w:t>
      </w:r>
      <w:r w:rsidR="00A15484" w:rsidRPr="00AC5FAF">
        <w:t xml:space="preserve"> </w:t>
      </w:r>
      <w:r w:rsidR="00A15484">
        <w:t xml:space="preserve">millimoles per litre; </w:t>
      </w:r>
      <w:proofErr w:type="spellStart"/>
      <w:r w:rsidR="00A15484">
        <w:t>pM</w:t>
      </w:r>
      <w:proofErr w:type="spellEnd"/>
      <w:r w:rsidR="00A15484">
        <w:t>=picomolar;</w:t>
      </w:r>
      <w:r w:rsidR="006530AE">
        <w:t xml:space="preserve"> OC=oral contraceptive;</w:t>
      </w:r>
      <w:r w:rsidR="00CB3C10">
        <w:t xml:space="preserve"> </w:t>
      </w:r>
      <w:proofErr w:type="spellStart"/>
      <w:r w:rsidR="00CB3C10">
        <w:t>recAN</w:t>
      </w:r>
      <w:proofErr w:type="spellEnd"/>
      <w:r w:rsidR="00CB3C10">
        <w:t>=long-term recovered anorexia nervosa patients</w:t>
      </w:r>
      <w:r>
        <w:t xml:space="preserve">. </w:t>
      </w:r>
      <w:proofErr w:type="spellStart"/>
      <w:r>
        <w:t>Mean</w:t>
      </w:r>
      <w:r w:rsidR="006530AE">
        <w:t>±</w:t>
      </w:r>
      <w:r>
        <w:t>standard</w:t>
      </w:r>
      <w:proofErr w:type="spellEnd"/>
      <w:r>
        <w:t xml:space="preserve"> deviation is reported for normally distributed parameters; median (interquartile range) is provided for non-normally distributed data. GIP, GLP-1, glicentin, and insulin concentrations were log₁₀-transformed prior to group comparisons. </w:t>
      </w:r>
      <w:r w:rsidR="009629A7">
        <w:t xml:space="preserve">ANCOVAs were conducted with age as a covariate. Asterisks indicate statistical significance </w:t>
      </w:r>
      <w:r w:rsidR="009629A7">
        <w:lastRenderedPageBreak/>
        <w:t xml:space="preserve">(two-tailed): </w:t>
      </w:r>
      <w:r w:rsidR="002E7CAE">
        <w:rPr>
          <w:i/>
        </w:rPr>
        <w:t>p</w:t>
      </w:r>
      <w:r w:rsidR="009629A7">
        <w:t xml:space="preserve">&lt;.01 (**), </w:t>
      </w:r>
      <w:r w:rsidR="002E7CAE">
        <w:t>p</w:t>
      </w:r>
      <w:r w:rsidR="009629A7">
        <w:t>&lt;.05 (*).</w:t>
      </w:r>
      <w:r w:rsidR="009629A7">
        <w:rPr>
          <w:i/>
        </w:rPr>
        <w:t xml:space="preserve"> </w:t>
      </w:r>
      <w:r w:rsidRPr="00584ADA">
        <w:rPr>
          <w:i/>
        </w:rPr>
        <w:t>P</w:t>
      </w:r>
      <w:r>
        <w:t>-values were adjusted for multiple comparisons using the False Discovery Rate (FDR) correction method</w:t>
      </w:r>
      <w:r w:rsidR="007C740D">
        <w:t xml:space="preserve"> </w:t>
      </w:r>
      <w:r w:rsidR="007C740D">
        <w:fldChar w:fldCharType="begin"/>
      </w:r>
      <w:r w:rsidR="00EA7E5F">
        <w:instrText xml:space="preserve"> ADDIN ZOTERO_ITEM CSL_CITATION {"citationID":"Uaaldl0z","properties":{"formattedCitation":"(1)","plainCitation":"(1)","noteIndex":0},"citationItems":[{"id":164,"uris":["http://zotero.org/groups/5162839/items/DXENLNF6"],"itemData":{"id":164,"type":"article-journal","abstract":"SUMMARY\n            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(Methodological)","DOI":"10.1111/j.2517-6161.1995.tb02031.x","ISSN":"0035-9246, 2517-6161","issue":"1","journalAbbreviation":"Journal of the Royal Statistical Society: Series B (Methodological)","language":"en","license":"http://onlinelibrary.wiley.com/termsAndConditions#vor","page":"289-300","source":"DOI.org (Crossref)","title":"Controlling the False Discovery Rate: A Practical and Powerful Approach to Multiple Testing","title-short":"Controlling the False Discovery Rate","volume":"57","author":[{"family":"Benjamini","given":"Yoav"},{"family":"Hochberg","given":"Yosef"}],"issued":{"date-parts":[["1995",1]]}}}],"schema":"https://github.com/citation-style-language/schema/raw/master/csl-citation.json"} </w:instrText>
      </w:r>
      <w:r w:rsidR="007C740D">
        <w:fldChar w:fldCharType="separate"/>
      </w:r>
      <w:r w:rsidR="00EA7E5F" w:rsidRPr="00EA7E5F">
        <w:t>(1)</w:t>
      </w:r>
      <w:r w:rsidR="007C740D">
        <w:fldChar w:fldCharType="end"/>
      </w:r>
      <w:r w:rsidRPr="00584ADA">
        <w:rPr>
          <w:b/>
        </w:rPr>
        <w:t>.</w:t>
      </w:r>
      <w:r>
        <w:rPr>
          <w:b/>
        </w:rPr>
        <w:t xml:space="preserve"> </w:t>
      </w:r>
      <w:r w:rsidRPr="00584ADA">
        <w:rPr>
          <w:rStyle w:val="Strong"/>
          <w:b w:val="0"/>
        </w:rPr>
        <w:t>Bayes factors (</w:t>
      </w:r>
      <w:r w:rsidRPr="00AF4822">
        <w:rPr>
          <w:rStyle w:val="Strong"/>
          <w:b w:val="0"/>
          <w:i/>
          <w:iCs/>
        </w:rPr>
        <w:t>BF₀₁</w:t>
      </w:r>
      <w:r w:rsidRPr="00584ADA">
        <w:rPr>
          <w:rStyle w:val="Strong"/>
          <w:b w:val="0"/>
        </w:rPr>
        <w:t>)&gt;1 indicate increasing support for the nul</w:t>
      </w:r>
      <w:r>
        <w:rPr>
          <w:rStyle w:val="Strong"/>
          <w:b w:val="0"/>
        </w:rPr>
        <w:t>l</w:t>
      </w:r>
      <w:r w:rsidRPr="00584ADA">
        <w:rPr>
          <w:rStyle w:val="Strong"/>
          <w:b w:val="0"/>
        </w:rPr>
        <w:t xml:space="preserve"> hypothesis (no group difference)</w:t>
      </w:r>
      <w:r>
        <w:t>.</w:t>
      </w:r>
      <w:r>
        <w:br w:type="page"/>
      </w:r>
    </w:p>
    <w:p w14:paraId="0BFC3496" w14:textId="491096AB" w:rsidR="00E554BD" w:rsidRDefault="00E554BD" w:rsidP="001B02E1">
      <w:pPr>
        <w:pStyle w:val="Heading3"/>
        <w:numPr>
          <w:ilvl w:val="0"/>
          <w:numId w:val="0"/>
        </w:numPr>
      </w:pPr>
      <w:r>
        <w:lastRenderedPageBreak/>
        <w:t>2.</w:t>
      </w:r>
      <w:r w:rsidR="004D5673">
        <w:t>2</w:t>
      </w:r>
      <w:r>
        <w:t xml:space="preserve">.2. </w:t>
      </w:r>
      <w:r w:rsidR="00AF791C">
        <w:t>HC</w:t>
      </w:r>
      <w:r>
        <w:t xml:space="preserve"> groups</w:t>
      </w:r>
      <w:r w:rsidR="00AF791C">
        <w:t xml:space="preserve"> after age-matching</w:t>
      </w:r>
    </w:p>
    <w:p w14:paraId="328D985E" w14:textId="762FE5C0" w:rsidR="0029689D" w:rsidRPr="002358D4" w:rsidRDefault="00EA0DCF" w:rsidP="002358D4">
      <w:r>
        <w:t>As part of a supplementary analysis, we compared blood parameter concentrations of the HC groups (Supplemental Table 5). No significant differences were found for any of the parameters after controlling for age and correcting for multiple comparisons (FDR). Bayesian analysis confirmed that there is no difference in glucose (</w:t>
      </w:r>
      <w:r w:rsidRPr="00FC48D8">
        <w:rPr>
          <w:i/>
        </w:rPr>
        <w:t>BF</w:t>
      </w:r>
      <w:r w:rsidRPr="00FC48D8">
        <w:rPr>
          <w:i/>
          <w:vertAlign w:val="subscript"/>
        </w:rPr>
        <w:t>01</w:t>
      </w:r>
      <w:r>
        <w:t>=3.392), insulin (</w:t>
      </w:r>
      <w:r w:rsidRPr="00FC48D8">
        <w:rPr>
          <w:i/>
        </w:rPr>
        <w:t>BF</w:t>
      </w:r>
      <w:r w:rsidRPr="00FC48D8">
        <w:rPr>
          <w:i/>
          <w:vertAlign w:val="subscript"/>
        </w:rPr>
        <w:t>01</w:t>
      </w:r>
      <w:r>
        <w:t>=</w:t>
      </w:r>
      <w:r w:rsidR="002E6D44">
        <w:t>68.340</w:t>
      </w:r>
      <w:r>
        <w:t>), and GLP-1 (</w:t>
      </w:r>
      <w:r w:rsidRPr="00FC48D8">
        <w:rPr>
          <w:i/>
        </w:rPr>
        <w:t>BF</w:t>
      </w:r>
      <w:r w:rsidRPr="00FC48D8">
        <w:rPr>
          <w:i/>
          <w:vertAlign w:val="subscript"/>
        </w:rPr>
        <w:t>01</w:t>
      </w:r>
      <w:r>
        <w:t>=1.532), but not in GIP (</w:t>
      </w:r>
      <w:r w:rsidRPr="00FC48D8">
        <w:rPr>
          <w:i/>
        </w:rPr>
        <w:t>BF</w:t>
      </w:r>
      <w:r w:rsidRPr="00FC48D8">
        <w:rPr>
          <w:i/>
          <w:vertAlign w:val="subscript"/>
        </w:rPr>
        <w:t>01</w:t>
      </w:r>
      <w:r>
        <w:t>=1.000), glicentin (</w:t>
      </w:r>
      <w:r w:rsidRPr="00FC48D8">
        <w:rPr>
          <w:i/>
        </w:rPr>
        <w:t>BF</w:t>
      </w:r>
      <w:r w:rsidRPr="00FC48D8">
        <w:rPr>
          <w:i/>
          <w:vertAlign w:val="subscript"/>
        </w:rPr>
        <w:t>01</w:t>
      </w:r>
      <w:r>
        <w:t>=1.000) and glucagon (</w:t>
      </w:r>
      <w:r w:rsidRPr="00FC48D8">
        <w:rPr>
          <w:i/>
        </w:rPr>
        <w:t>BF</w:t>
      </w:r>
      <w:r w:rsidRPr="00FC48D8">
        <w:rPr>
          <w:i/>
          <w:vertAlign w:val="subscript"/>
        </w:rPr>
        <w:t>01</w:t>
      </w:r>
      <w:r>
        <w:t>=1.000).</w:t>
      </w:r>
      <w:r w:rsidRPr="00750C68">
        <w:t xml:space="preserve"> </w:t>
      </w:r>
      <w:r>
        <w:t>Without age correction, GIP and glucagon levels were decreased in HC</w:t>
      </w:r>
      <w:r w:rsidRPr="0029689D">
        <w:rPr>
          <w:vertAlign w:val="superscript"/>
        </w:rPr>
        <w:t>+</w:t>
      </w:r>
      <w:r>
        <w:t>, while glicentin was elevated.</w:t>
      </w:r>
    </w:p>
    <w:p w14:paraId="1F3CF2FC" w14:textId="5C4DFA1C" w:rsidR="002F3C76" w:rsidRDefault="00627DBF" w:rsidP="00AF4822">
      <w:pPr>
        <w:pStyle w:val="Caption"/>
        <w:spacing w:line="360" w:lineRule="auto"/>
        <w:ind w:firstLine="0"/>
      </w:pPr>
      <w:r>
        <w:rPr>
          <w:b/>
        </w:rPr>
        <w:t xml:space="preserve">Supplemental </w:t>
      </w:r>
      <w:r w:rsidR="002F3C76" w:rsidRPr="004063F2">
        <w:rPr>
          <w:b/>
        </w:rPr>
        <w:t xml:space="preserve">Table </w:t>
      </w:r>
      <w:r w:rsidR="00E554BD">
        <w:rPr>
          <w:b/>
        </w:rPr>
        <w:t>5</w:t>
      </w:r>
      <w:r w:rsidR="002F3C76">
        <w:t xml:space="preserve">. </w:t>
      </w:r>
      <w:r w:rsidR="0029689D">
        <w:t>HC groups after age-matching</w:t>
      </w:r>
      <w:r w:rsidR="00AE29B0">
        <w:t>:</w:t>
      </w:r>
      <w:r w:rsidR="0029689D">
        <w:t xml:space="preserve"> </w:t>
      </w:r>
      <w:r w:rsidR="002F3C76" w:rsidRPr="00AF5666">
        <w:t xml:space="preserve">Blood </w:t>
      </w:r>
      <w:r w:rsidR="00C93E96">
        <w:t>glucose and hormone concentrations</w:t>
      </w:r>
      <w:r w:rsidR="0029689D">
        <w:t>.</w:t>
      </w:r>
    </w:p>
    <w:tbl>
      <w:tblPr>
        <w:tblW w:w="5000" w:type="pct"/>
        <w:tblLayout w:type="fixed"/>
        <w:tblLook w:val="0420" w:firstRow="1" w:lastRow="0" w:firstColumn="0" w:lastColumn="0" w:noHBand="0" w:noVBand="1"/>
      </w:tblPr>
      <w:tblGrid>
        <w:gridCol w:w="3152"/>
        <w:gridCol w:w="2589"/>
        <w:gridCol w:w="2666"/>
        <w:gridCol w:w="1949"/>
        <w:gridCol w:w="2154"/>
        <w:gridCol w:w="1777"/>
      </w:tblGrid>
      <w:tr w:rsidR="009629A7" w14:paraId="6F0604CC" w14:textId="77777777" w:rsidTr="0029689D">
        <w:trPr>
          <w:trHeight w:val="322"/>
          <w:tblHeader/>
        </w:trPr>
        <w:tc>
          <w:tcPr>
            <w:tcW w:w="1103" w:type="pct"/>
            <w:tcBorders>
              <w:top w:val="single" w:sz="4" w:space="0" w:color="auto"/>
              <w:bottom w:val="single" w:sz="4" w:space="0" w:color="000000"/>
              <w:right w:val="none" w:sz="0" w:space="0" w:color="000000"/>
            </w:tcBorders>
            <w:shd w:val="clear" w:color="auto" w:fill="FFFFFF"/>
            <w:tcMar>
              <w:top w:w="0" w:type="dxa"/>
              <w:left w:w="0" w:type="dxa"/>
              <w:bottom w:w="0" w:type="dxa"/>
              <w:right w:w="0" w:type="dxa"/>
            </w:tcMar>
            <w:vAlign w:val="center"/>
          </w:tcPr>
          <w:p w14:paraId="1C18F1CB"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184"/>
              <w:jc w:val="center"/>
              <w:rPr>
                <w:rFonts w:eastAsia="Times New Roman"/>
                <w:color w:val="000000"/>
              </w:rPr>
            </w:pPr>
          </w:p>
        </w:tc>
        <w:tc>
          <w:tcPr>
            <w:tcW w:w="906" w:type="pct"/>
            <w:tcBorders>
              <w:top w:val="single" w:sz="4" w:space="0" w:color="auto"/>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400A901" w14:textId="1B1A00D8" w:rsidR="009629A7" w:rsidRPr="00306B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color w:val="000000"/>
                <w:szCs w:val="24"/>
              </w:rPr>
            </w:pPr>
            <w:r w:rsidRPr="00FD45BE">
              <w:rPr>
                <w:rFonts w:eastAsia="Times New Roman"/>
                <w:i/>
                <w:color w:val="000000"/>
                <w:szCs w:val="24"/>
              </w:rPr>
              <w:t>HC</w:t>
            </w:r>
            <w:r w:rsidRPr="00AF4822">
              <w:rPr>
                <w:vertAlign w:val="superscript"/>
              </w:rPr>
              <w:sym w:font="Symbol" w:char="F02D"/>
            </w:r>
            <w:r w:rsidRPr="00FD45BE">
              <w:rPr>
                <w:rFonts w:eastAsia="Times New Roman"/>
                <w:i/>
                <w:color w:val="000000"/>
                <w:szCs w:val="24"/>
              </w:rPr>
              <w:t xml:space="preserve"> (N=65)</w:t>
            </w:r>
          </w:p>
        </w:tc>
        <w:tc>
          <w:tcPr>
            <w:tcW w:w="933" w:type="pct"/>
            <w:tcBorders>
              <w:top w:val="single" w:sz="4" w:space="0" w:color="auto"/>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8603DF1" w14:textId="4F9F1AC9" w:rsidR="009629A7" w:rsidRPr="00306B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color w:val="000000"/>
                <w:szCs w:val="24"/>
              </w:rPr>
            </w:pPr>
            <w:r w:rsidRPr="00FD45BE">
              <w:rPr>
                <w:rFonts w:eastAsia="Times New Roman"/>
                <w:i/>
                <w:color w:val="000000"/>
              </w:rPr>
              <w:t>HC</w:t>
            </w:r>
            <w:r w:rsidRPr="00AF4822">
              <w:rPr>
                <w:rFonts w:eastAsia="Times New Roman"/>
                <w:i/>
                <w:color w:val="000000"/>
                <w:vertAlign w:val="superscript"/>
              </w:rPr>
              <w:t>+</w:t>
            </w:r>
            <w:r w:rsidRPr="00FD45BE">
              <w:rPr>
                <w:rFonts w:eastAsia="Times New Roman"/>
                <w:i/>
                <w:color w:val="000000"/>
              </w:rPr>
              <w:t xml:space="preserve"> (N=35)</w:t>
            </w:r>
          </w:p>
        </w:tc>
        <w:tc>
          <w:tcPr>
            <w:tcW w:w="682" w:type="pct"/>
            <w:tcBorders>
              <w:top w:val="single" w:sz="4" w:space="0" w:color="auto"/>
              <w:left w:val="none" w:sz="0" w:space="0" w:color="000000"/>
              <w:bottom w:val="single" w:sz="4" w:space="0" w:color="000000"/>
              <w:right w:val="none" w:sz="0" w:space="0" w:color="000000"/>
            </w:tcBorders>
            <w:shd w:val="clear" w:color="auto" w:fill="FFFFFF"/>
            <w:vAlign w:val="center"/>
          </w:tcPr>
          <w:p w14:paraId="0F351155" w14:textId="3A4563D2"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sidRPr="009629A7">
              <w:rPr>
                <w:rFonts w:eastAsia="Times New Roman"/>
                <w:i/>
                <w:color w:val="000000"/>
                <w:szCs w:val="24"/>
              </w:rPr>
              <w:t>ANCOVA</w:t>
            </w:r>
          </w:p>
        </w:tc>
        <w:tc>
          <w:tcPr>
            <w:tcW w:w="754" w:type="pct"/>
            <w:tcBorders>
              <w:top w:val="single" w:sz="4" w:space="0" w:color="auto"/>
              <w:left w:val="none" w:sz="0" w:space="0" w:color="000000"/>
              <w:bottom w:val="single" w:sz="4" w:space="0" w:color="000000"/>
            </w:tcBorders>
            <w:shd w:val="clear" w:color="auto" w:fill="FFFFFF"/>
            <w:vAlign w:val="center"/>
          </w:tcPr>
          <w:p w14:paraId="01E6A800" w14:textId="3DEEC6A0"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sidRPr="00130076">
              <w:rPr>
                <w:rFonts w:eastAsia="Times New Roman"/>
                <w:i/>
                <w:color w:val="000000"/>
                <w:szCs w:val="24"/>
              </w:rPr>
              <w:t xml:space="preserve">FDR </w:t>
            </w:r>
          </w:p>
        </w:tc>
        <w:tc>
          <w:tcPr>
            <w:tcW w:w="622" w:type="pct"/>
            <w:vMerge w:val="restart"/>
            <w:tcBorders>
              <w:top w:val="single" w:sz="4" w:space="0" w:color="auto"/>
            </w:tcBorders>
            <w:shd w:val="clear" w:color="auto" w:fill="FFFFFF"/>
            <w:vAlign w:val="center"/>
          </w:tcPr>
          <w:p w14:paraId="08C7AB5F" w14:textId="6FBA8784" w:rsidR="009629A7" w:rsidRPr="00AF4822"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iCs/>
                <w:color w:val="000000"/>
                <w:szCs w:val="24"/>
              </w:rPr>
            </w:pPr>
            <w:r w:rsidRPr="00AF4822">
              <w:rPr>
                <w:rFonts w:eastAsia="Times New Roman"/>
                <w:b/>
                <w:i/>
                <w:iCs/>
                <w:color w:val="000000"/>
                <w:szCs w:val="24"/>
              </w:rPr>
              <w:t>BF</w:t>
            </w:r>
            <w:r w:rsidR="0029689D" w:rsidRPr="00AF4822">
              <w:rPr>
                <w:rFonts w:eastAsia="Times New Roman"/>
                <w:b/>
                <w:i/>
                <w:iCs/>
                <w:color w:val="000000"/>
                <w:szCs w:val="24"/>
                <w:vertAlign w:val="subscript"/>
              </w:rPr>
              <w:t>0</w:t>
            </w:r>
            <w:r w:rsidRPr="00AF4822">
              <w:rPr>
                <w:rFonts w:eastAsia="Times New Roman"/>
                <w:b/>
                <w:i/>
                <w:iCs/>
                <w:color w:val="000000"/>
                <w:szCs w:val="24"/>
                <w:vertAlign w:val="subscript"/>
              </w:rPr>
              <w:t>1</w:t>
            </w:r>
          </w:p>
        </w:tc>
      </w:tr>
      <w:tr w:rsidR="009629A7" w14:paraId="644A1167" w14:textId="2F6BA301" w:rsidTr="009629A7">
        <w:trPr>
          <w:trHeight w:val="630"/>
          <w:tblHeader/>
        </w:trPr>
        <w:tc>
          <w:tcPr>
            <w:tcW w:w="1103" w:type="pct"/>
            <w:tcBorders>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06414BAA"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184"/>
              <w:jc w:val="center"/>
              <w:rPr>
                <w:rFonts w:eastAsia="Times New Roman"/>
                <w:color w:val="000000"/>
              </w:rPr>
            </w:pPr>
          </w:p>
        </w:tc>
        <w:tc>
          <w:tcPr>
            <w:tcW w:w="906" w:type="pct"/>
            <w:tcBorders>
              <w:top w:val="single" w:sz="4" w:space="0" w:color="auto"/>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51CADB78" w14:textId="456BE97D" w:rsidR="009629A7" w:rsidRPr="00306B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b/>
                <w:color w:val="000000"/>
                <w:shd w:val="clear" w:color="auto" w:fill="FFFFFF"/>
              </w:rPr>
            </w:pPr>
            <w:proofErr w:type="spellStart"/>
            <w:r w:rsidRPr="00306B70">
              <w:rPr>
                <w:rFonts w:eastAsia="Times New Roman"/>
                <w:b/>
                <w:color w:val="000000"/>
                <w:szCs w:val="24"/>
              </w:rPr>
              <w:t>Mean</w:t>
            </w:r>
            <w:r w:rsidR="006530AE">
              <w:rPr>
                <w:rFonts w:eastAsia="Times New Roman"/>
                <w:b/>
                <w:color w:val="000000"/>
                <w:szCs w:val="24"/>
              </w:rPr>
              <w:t>±</w:t>
            </w:r>
            <w:r w:rsidRPr="00306B70">
              <w:rPr>
                <w:b/>
                <w:color w:val="000000"/>
                <w:shd w:val="clear" w:color="auto" w:fill="FFFFFF"/>
              </w:rPr>
              <w:t>SD</w:t>
            </w:r>
            <w:proofErr w:type="spellEnd"/>
          </w:p>
          <w:p w14:paraId="1200657E" w14:textId="6E5264E1" w:rsidR="009629A7" w:rsidRPr="000439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color w:val="000000"/>
                <w:szCs w:val="24"/>
              </w:rPr>
            </w:pPr>
            <w:r w:rsidRPr="00306B70">
              <w:rPr>
                <w:rFonts w:eastAsia="Times New Roman"/>
                <w:b/>
                <w:color w:val="000000"/>
                <w:szCs w:val="24"/>
              </w:rPr>
              <w:t>Median (IQR)</w:t>
            </w:r>
          </w:p>
        </w:tc>
        <w:tc>
          <w:tcPr>
            <w:tcW w:w="933" w:type="pct"/>
            <w:tcBorders>
              <w:top w:val="single" w:sz="4" w:space="0" w:color="auto"/>
              <w:left w:val="none" w:sz="0" w:space="0" w:color="000000"/>
              <w:bottom w:val="single" w:sz="4" w:space="0" w:color="000000"/>
              <w:right w:val="none" w:sz="0" w:space="0" w:color="000000"/>
            </w:tcBorders>
            <w:shd w:val="clear" w:color="auto" w:fill="FFFFFF"/>
            <w:tcMar>
              <w:top w:w="0" w:type="dxa"/>
              <w:left w:w="0" w:type="dxa"/>
              <w:bottom w:w="0" w:type="dxa"/>
              <w:right w:w="0" w:type="dxa"/>
            </w:tcMar>
            <w:vAlign w:val="center"/>
          </w:tcPr>
          <w:p w14:paraId="2641C506" w14:textId="2880C587" w:rsidR="009629A7" w:rsidRPr="00306B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b/>
                <w:color w:val="000000"/>
                <w:shd w:val="clear" w:color="auto" w:fill="FFFFFF"/>
              </w:rPr>
            </w:pPr>
            <w:proofErr w:type="spellStart"/>
            <w:r w:rsidRPr="00306B70">
              <w:rPr>
                <w:rFonts w:eastAsia="Times New Roman"/>
                <w:b/>
                <w:color w:val="000000"/>
                <w:szCs w:val="24"/>
              </w:rPr>
              <w:t>Mean</w:t>
            </w:r>
            <w:r w:rsidR="006530AE">
              <w:rPr>
                <w:rFonts w:eastAsia="Times New Roman"/>
                <w:b/>
                <w:color w:val="000000"/>
                <w:szCs w:val="24"/>
              </w:rPr>
              <w:t>±</w:t>
            </w:r>
            <w:r w:rsidRPr="00306B70">
              <w:rPr>
                <w:b/>
                <w:color w:val="000000"/>
                <w:shd w:val="clear" w:color="auto" w:fill="FFFFFF"/>
              </w:rPr>
              <w:t>SD</w:t>
            </w:r>
            <w:proofErr w:type="spellEnd"/>
          </w:p>
          <w:p w14:paraId="3442571C" w14:textId="44303BAA" w:rsidR="009629A7" w:rsidRPr="000439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b/>
                <w:color w:val="000000"/>
              </w:rPr>
            </w:pPr>
            <w:r w:rsidRPr="00306B70">
              <w:rPr>
                <w:rFonts w:eastAsia="Times New Roman"/>
                <w:b/>
                <w:color w:val="000000"/>
                <w:szCs w:val="24"/>
              </w:rPr>
              <w:t>Median (IQR)</w:t>
            </w:r>
          </w:p>
        </w:tc>
        <w:tc>
          <w:tcPr>
            <w:tcW w:w="682" w:type="pct"/>
            <w:tcBorders>
              <w:top w:val="single" w:sz="4" w:space="0" w:color="auto"/>
              <w:left w:val="none" w:sz="0" w:space="0" w:color="000000"/>
              <w:bottom w:val="single" w:sz="4" w:space="0" w:color="000000"/>
              <w:right w:val="none" w:sz="0" w:space="0" w:color="000000"/>
            </w:tcBorders>
            <w:shd w:val="clear" w:color="auto" w:fill="FFFFFF"/>
          </w:tcPr>
          <w:p w14:paraId="12DD57A2" w14:textId="5E6563EA" w:rsidR="009629A7" w:rsidRPr="00BC077C"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Pr>
                <w:rFonts w:eastAsia="Times New Roman"/>
                <w:b/>
                <w:i/>
                <w:color w:val="000000"/>
                <w:szCs w:val="24"/>
              </w:rPr>
              <w:t>p</w:t>
            </w:r>
          </w:p>
        </w:tc>
        <w:tc>
          <w:tcPr>
            <w:tcW w:w="754" w:type="pct"/>
            <w:tcBorders>
              <w:top w:val="single" w:sz="4" w:space="0" w:color="auto"/>
              <w:left w:val="none" w:sz="0" w:space="0" w:color="000000"/>
              <w:bottom w:val="single" w:sz="4" w:space="0" w:color="000000"/>
            </w:tcBorders>
            <w:shd w:val="clear" w:color="auto" w:fill="FFFFFF"/>
          </w:tcPr>
          <w:p w14:paraId="3C7AD7A8" w14:textId="72B6F151" w:rsidR="009629A7" w:rsidRPr="00BC077C"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i/>
                <w:color w:val="000000"/>
                <w:szCs w:val="24"/>
              </w:rPr>
            </w:pPr>
            <w:r>
              <w:rPr>
                <w:rFonts w:eastAsia="Times New Roman"/>
                <w:b/>
                <w:i/>
                <w:color w:val="000000"/>
                <w:szCs w:val="24"/>
              </w:rPr>
              <w:t>p</w:t>
            </w:r>
          </w:p>
        </w:tc>
        <w:tc>
          <w:tcPr>
            <w:tcW w:w="622" w:type="pct"/>
            <w:vMerge/>
            <w:tcBorders>
              <w:bottom w:val="single" w:sz="4" w:space="0" w:color="000000"/>
            </w:tcBorders>
            <w:shd w:val="clear" w:color="auto" w:fill="FFFFFF"/>
          </w:tcPr>
          <w:p w14:paraId="4F591F4D" w14:textId="45497507" w:rsidR="009629A7" w:rsidRPr="00306B70"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b/>
                <w:color w:val="000000"/>
                <w:szCs w:val="24"/>
              </w:rPr>
            </w:pPr>
          </w:p>
        </w:tc>
      </w:tr>
      <w:tr w:rsidR="009629A7" w14:paraId="55EDBB81" w14:textId="2912A0D2" w:rsidTr="0029689D">
        <w:trPr>
          <w:trHeight w:val="234"/>
        </w:trPr>
        <w:tc>
          <w:tcPr>
            <w:tcW w:w="1103"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88A87F2" w14:textId="3BF06DEA" w:rsidR="009629A7" w:rsidRPr="00043970" w:rsidRDefault="009629A7" w:rsidP="00AF482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Glucose</w:t>
            </w:r>
            <w:r>
              <w:rPr>
                <w:rFonts w:eastAsia="Times New Roman"/>
                <w:b/>
                <w:color w:val="000000"/>
                <w:szCs w:val="24"/>
              </w:rPr>
              <w:t xml:space="preserve"> </w:t>
            </w:r>
            <w:r>
              <w:rPr>
                <w:b/>
              </w:rPr>
              <w:t>(mmol/l)</w:t>
            </w:r>
          </w:p>
        </w:tc>
        <w:tc>
          <w:tcPr>
            <w:tcW w:w="906"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58DF521" w14:textId="378BAE39"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color w:val="000000"/>
              </w:rPr>
            </w:pPr>
            <w:r>
              <w:rPr>
                <w:color w:val="000000"/>
                <w:shd w:val="clear" w:color="auto" w:fill="FFFFFF"/>
              </w:rPr>
              <w:t>5.1</w:t>
            </w:r>
            <w:r w:rsidR="006530AE">
              <w:rPr>
                <w:color w:val="000000"/>
                <w:shd w:val="clear" w:color="auto" w:fill="FFFFFF"/>
              </w:rPr>
              <w:t>±</w:t>
            </w:r>
            <w:r>
              <w:rPr>
                <w:color w:val="000000"/>
                <w:shd w:val="clear" w:color="auto" w:fill="FFFFFF"/>
              </w:rPr>
              <w:t>0.44</w:t>
            </w:r>
          </w:p>
        </w:tc>
        <w:tc>
          <w:tcPr>
            <w:tcW w:w="933" w:type="pct"/>
            <w:tcBorders>
              <w:top w:val="single" w:sz="4"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201BEE3" w14:textId="2DD233AB"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szCs w:val="24"/>
              </w:rPr>
              <w:t>5.03</w:t>
            </w:r>
            <w:r w:rsidR="006530AE">
              <w:rPr>
                <w:rFonts w:eastAsia="Times New Roman"/>
                <w:color w:val="000000"/>
                <w:szCs w:val="24"/>
              </w:rPr>
              <w:t>±</w:t>
            </w:r>
            <w:r>
              <w:rPr>
                <w:rFonts w:eastAsia="Times New Roman"/>
                <w:color w:val="000000"/>
                <w:szCs w:val="24"/>
              </w:rPr>
              <w:t>0.38</w:t>
            </w:r>
          </w:p>
        </w:tc>
        <w:tc>
          <w:tcPr>
            <w:tcW w:w="682" w:type="pct"/>
            <w:tcBorders>
              <w:top w:val="single" w:sz="4" w:space="0" w:color="000000"/>
              <w:left w:val="none" w:sz="0" w:space="0" w:color="000000"/>
              <w:bottom w:val="none" w:sz="0" w:space="0" w:color="000000"/>
              <w:right w:val="none" w:sz="0" w:space="0" w:color="000000"/>
            </w:tcBorders>
            <w:shd w:val="clear" w:color="auto" w:fill="FFFFFF"/>
          </w:tcPr>
          <w:p w14:paraId="15DF523E" w14:textId="17BD5621"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Pr>
                <w:rFonts w:eastAsia="Times New Roman"/>
                <w:color w:val="000000"/>
                <w:szCs w:val="24"/>
              </w:rPr>
              <w:t>.966</w:t>
            </w:r>
          </w:p>
        </w:tc>
        <w:tc>
          <w:tcPr>
            <w:tcW w:w="754" w:type="pct"/>
            <w:tcBorders>
              <w:top w:val="single" w:sz="4" w:space="0" w:color="000000"/>
              <w:left w:val="none" w:sz="0" w:space="0" w:color="000000"/>
              <w:bottom w:val="none" w:sz="0" w:space="0" w:color="000000"/>
              <w:right w:val="none" w:sz="0" w:space="0" w:color="000000"/>
            </w:tcBorders>
            <w:shd w:val="clear" w:color="auto" w:fill="FFFFFF"/>
          </w:tcPr>
          <w:p w14:paraId="338EB3FF" w14:textId="547B9D66"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Pr>
                <w:rFonts w:eastAsia="Times New Roman"/>
                <w:color w:val="000000"/>
                <w:szCs w:val="24"/>
              </w:rPr>
              <w:t>.966</w:t>
            </w:r>
          </w:p>
        </w:tc>
        <w:tc>
          <w:tcPr>
            <w:tcW w:w="622" w:type="pct"/>
            <w:tcBorders>
              <w:top w:val="single" w:sz="4" w:space="0" w:color="000000"/>
              <w:left w:val="none" w:sz="0" w:space="0" w:color="000000"/>
              <w:bottom w:val="none" w:sz="0" w:space="0" w:color="000000"/>
              <w:right w:val="none" w:sz="0" w:space="0" w:color="000000"/>
            </w:tcBorders>
            <w:shd w:val="clear" w:color="auto" w:fill="FFFFFF"/>
          </w:tcPr>
          <w:p w14:paraId="4AB05595" w14:textId="5E4E2723"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szCs w:val="24"/>
              </w:rPr>
            </w:pPr>
            <w:r w:rsidRPr="00130076">
              <w:rPr>
                <w:rFonts w:eastAsia="Times New Roman"/>
                <w:color w:val="000000"/>
                <w:szCs w:val="24"/>
              </w:rPr>
              <w:t>3.392</w:t>
            </w:r>
          </w:p>
        </w:tc>
      </w:tr>
      <w:tr w:rsidR="009629A7" w14:paraId="47A0AACF" w14:textId="69CFFEEE" w:rsidTr="0029689D">
        <w:trPr>
          <w:trHeight w:val="310"/>
        </w:trPr>
        <w:tc>
          <w:tcPr>
            <w:tcW w:w="11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1C3F25FC" w14:textId="1049ADEC" w:rsidR="009629A7" w:rsidRPr="00043970" w:rsidRDefault="009629A7" w:rsidP="00AF482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Insulin</w:t>
            </w:r>
            <w:r>
              <w:rPr>
                <w:rFonts w:eastAsia="Times New Roman"/>
                <w:b/>
                <w:color w:val="000000"/>
                <w:szCs w:val="24"/>
              </w:rPr>
              <w:t xml:space="preserve"> </w:t>
            </w:r>
            <w:r>
              <w:rPr>
                <w:b/>
              </w:rPr>
              <w:t>(</w:t>
            </w:r>
            <w:proofErr w:type="spellStart"/>
            <w:r>
              <w:rPr>
                <w:b/>
              </w:rPr>
              <w:t>pM</w:t>
            </w:r>
            <w:proofErr w:type="spellEnd"/>
            <w:r>
              <w:rPr>
                <w:b/>
              </w:rPr>
              <w:t>)</w:t>
            </w:r>
          </w:p>
        </w:tc>
        <w:tc>
          <w:tcPr>
            <w:tcW w:w="9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DA0F5BC"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color w:val="000000"/>
              </w:rPr>
            </w:pPr>
            <w:r>
              <w:rPr>
                <w:color w:val="000000"/>
                <w:shd w:val="clear" w:color="auto" w:fill="FFFFFF"/>
              </w:rPr>
              <w:t>35.9 (20.56)</w:t>
            </w:r>
          </w:p>
        </w:tc>
        <w:tc>
          <w:tcPr>
            <w:tcW w:w="9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6300082F"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color w:val="000000"/>
                <w:shd w:val="clear" w:color="auto" w:fill="FFFFFF"/>
              </w:rPr>
              <w:t>31.64 (23.03)</w:t>
            </w:r>
          </w:p>
        </w:tc>
        <w:tc>
          <w:tcPr>
            <w:tcW w:w="682" w:type="pct"/>
            <w:tcBorders>
              <w:top w:val="none" w:sz="0" w:space="0" w:color="000000"/>
              <w:left w:val="none" w:sz="0" w:space="0" w:color="000000"/>
              <w:bottom w:val="none" w:sz="0" w:space="0" w:color="000000"/>
              <w:right w:val="none" w:sz="0" w:space="0" w:color="000000"/>
            </w:tcBorders>
            <w:shd w:val="clear" w:color="auto" w:fill="FFFFFF"/>
          </w:tcPr>
          <w:p w14:paraId="728AD80B" w14:textId="24CC372C"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.023</w:t>
            </w:r>
            <w:r w:rsidR="007E500C">
              <w:rPr>
                <w:color w:val="000000"/>
                <w:shd w:val="clear" w:color="auto" w:fill="FFFFFF"/>
              </w:rPr>
              <w:t>*</w:t>
            </w:r>
          </w:p>
        </w:tc>
        <w:tc>
          <w:tcPr>
            <w:tcW w:w="754" w:type="pct"/>
            <w:tcBorders>
              <w:top w:val="none" w:sz="0" w:space="0" w:color="000000"/>
              <w:left w:val="none" w:sz="0" w:space="0" w:color="000000"/>
              <w:bottom w:val="none" w:sz="0" w:space="0" w:color="000000"/>
              <w:right w:val="none" w:sz="0" w:space="0" w:color="000000"/>
            </w:tcBorders>
            <w:shd w:val="clear" w:color="auto" w:fill="FFFFFF"/>
          </w:tcPr>
          <w:p w14:paraId="6EFEE5E0" w14:textId="5786D90B"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.138</w:t>
            </w:r>
          </w:p>
        </w:tc>
        <w:tc>
          <w:tcPr>
            <w:tcW w:w="622" w:type="pct"/>
            <w:tcBorders>
              <w:top w:val="none" w:sz="0" w:space="0" w:color="000000"/>
              <w:left w:val="none" w:sz="0" w:space="0" w:color="000000"/>
              <w:bottom w:val="none" w:sz="0" w:space="0" w:color="000000"/>
              <w:right w:val="none" w:sz="0" w:space="0" w:color="000000"/>
            </w:tcBorders>
            <w:shd w:val="clear" w:color="auto" w:fill="FFFFFF"/>
          </w:tcPr>
          <w:p w14:paraId="6B73ED70" w14:textId="2BBC8693"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sidRPr="00130076">
              <w:rPr>
                <w:color w:val="000000"/>
                <w:shd w:val="clear" w:color="auto" w:fill="FFFFFF"/>
              </w:rPr>
              <w:t>68.340</w:t>
            </w:r>
          </w:p>
        </w:tc>
      </w:tr>
      <w:tr w:rsidR="009629A7" w14:paraId="5AE0AAA9" w14:textId="5968E0FD" w:rsidTr="0029689D">
        <w:trPr>
          <w:trHeight w:val="63"/>
        </w:trPr>
        <w:tc>
          <w:tcPr>
            <w:tcW w:w="11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9C59ECA" w14:textId="5E9D570E" w:rsidR="009629A7" w:rsidRPr="00043970" w:rsidRDefault="009629A7" w:rsidP="00AF482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GIP</w:t>
            </w:r>
            <w:r>
              <w:rPr>
                <w:rFonts w:eastAsia="Times New Roman"/>
                <w:b/>
                <w:color w:val="000000"/>
                <w:szCs w:val="24"/>
              </w:rPr>
              <w:t xml:space="preserve"> </w:t>
            </w:r>
            <w:r>
              <w:rPr>
                <w:b/>
              </w:rPr>
              <w:t>(</w:t>
            </w:r>
            <w:proofErr w:type="spellStart"/>
            <w:r>
              <w:rPr>
                <w:b/>
              </w:rPr>
              <w:t>pM</w:t>
            </w:r>
            <w:proofErr w:type="spellEnd"/>
            <w:r>
              <w:rPr>
                <w:b/>
              </w:rPr>
              <w:t>)</w:t>
            </w:r>
          </w:p>
        </w:tc>
        <w:tc>
          <w:tcPr>
            <w:tcW w:w="9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D699230"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color w:val="000000"/>
              </w:rPr>
            </w:pPr>
            <w:r>
              <w:rPr>
                <w:color w:val="000000"/>
                <w:shd w:val="clear" w:color="auto" w:fill="FFFFFF"/>
              </w:rPr>
              <w:t>5.34 (3.79)</w:t>
            </w:r>
          </w:p>
        </w:tc>
        <w:tc>
          <w:tcPr>
            <w:tcW w:w="9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4619F701"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color w:val="000000"/>
                <w:shd w:val="clear" w:color="auto" w:fill="FFFFFF"/>
              </w:rPr>
              <w:t>3.82 (3.43)</w:t>
            </w:r>
          </w:p>
        </w:tc>
        <w:tc>
          <w:tcPr>
            <w:tcW w:w="682" w:type="pct"/>
            <w:tcBorders>
              <w:top w:val="none" w:sz="0" w:space="0" w:color="000000"/>
              <w:left w:val="none" w:sz="0" w:space="0" w:color="000000"/>
              <w:bottom w:val="none" w:sz="0" w:space="0" w:color="000000"/>
              <w:right w:val="none" w:sz="0" w:space="0" w:color="000000"/>
            </w:tcBorders>
            <w:shd w:val="clear" w:color="auto" w:fill="FFFFFF"/>
          </w:tcPr>
          <w:p w14:paraId="34DC9865" w14:textId="21F2D762"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.053</w:t>
            </w:r>
          </w:p>
        </w:tc>
        <w:tc>
          <w:tcPr>
            <w:tcW w:w="754" w:type="pct"/>
            <w:tcBorders>
              <w:top w:val="none" w:sz="0" w:space="0" w:color="000000"/>
              <w:left w:val="none" w:sz="0" w:space="0" w:color="000000"/>
              <w:bottom w:val="none" w:sz="0" w:space="0" w:color="000000"/>
              <w:right w:val="none" w:sz="0" w:space="0" w:color="000000"/>
            </w:tcBorders>
            <w:shd w:val="clear" w:color="auto" w:fill="FFFFFF"/>
          </w:tcPr>
          <w:p w14:paraId="1270946A" w14:textId="16692526"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.154</w:t>
            </w:r>
          </w:p>
        </w:tc>
        <w:tc>
          <w:tcPr>
            <w:tcW w:w="622" w:type="pct"/>
            <w:tcBorders>
              <w:top w:val="none" w:sz="0" w:space="0" w:color="000000"/>
              <w:left w:val="none" w:sz="0" w:space="0" w:color="000000"/>
              <w:bottom w:val="none" w:sz="0" w:space="0" w:color="000000"/>
              <w:right w:val="none" w:sz="0" w:space="0" w:color="000000"/>
            </w:tcBorders>
            <w:shd w:val="clear" w:color="auto" w:fill="FFFFFF"/>
          </w:tcPr>
          <w:p w14:paraId="278C3B21" w14:textId="5F914DE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1.000</w:t>
            </w:r>
          </w:p>
        </w:tc>
      </w:tr>
      <w:tr w:rsidR="009629A7" w14:paraId="1841BA25" w14:textId="49C52612" w:rsidTr="0029689D">
        <w:trPr>
          <w:trHeight w:val="314"/>
        </w:trPr>
        <w:tc>
          <w:tcPr>
            <w:tcW w:w="11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7FFF06E" w14:textId="07B55C14" w:rsidR="009629A7" w:rsidRPr="00043970" w:rsidRDefault="009629A7" w:rsidP="00AF482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GLP-1</w:t>
            </w:r>
            <w:r>
              <w:rPr>
                <w:rFonts w:eastAsia="Times New Roman"/>
                <w:b/>
                <w:color w:val="000000"/>
                <w:szCs w:val="24"/>
              </w:rPr>
              <w:t xml:space="preserve"> </w:t>
            </w:r>
            <w:r>
              <w:rPr>
                <w:b/>
              </w:rPr>
              <w:t>(</w:t>
            </w:r>
            <w:proofErr w:type="spellStart"/>
            <w:r>
              <w:rPr>
                <w:b/>
              </w:rPr>
              <w:t>pM</w:t>
            </w:r>
            <w:proofErr w:type="spellEnd"/>
            <w:r>
              <w:rPr>
                <w:b/>
              </w:rPr>
              <w:t>)</w:t>
            </w:r>
          </w:p>
        </w:tc>
        <w:tc>
          <w:tcPr>
            <w:tcW w:w="9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30B7A067"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color w:val="000000"/>
              </w:rPr>
            </w:pPr>
            <w:r>
              <w:rPr>
                <w:color w:val="000000"/>
                <w:shd w:val="clear" w:color="auto" w:fill="FFFFFF"/>
              </w:rPr>
              <w:t>3.46 (1.53)</w:t>
            </w:r>
          </w:p>
        </w:tc>
        <w:tc>
          <w:tcPr>
            <w:tcW w:w="9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0F914D63"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4.28 (2.47)</w:t>
            </w:r>
          </w:p>
        </w:tc>
        <w:tc>
          <w:tcPr>
            <w:tcW w:w="682" w:type="pct"/>
            <w:tcBorders>
              <w:top w:val="none" w:sz="0" w:space="0" w:color="000000"/>
              <w:left w:val="none" w:sz="0" w:space="0" w:color="000000"/>
              <w:bottom w:val="none" w:sz="0" w:space="0" w:color="000000"/>
              <w:right w:val="none" w:sz="0" w:space="0" w:color="000000"/>
            </w:tcBorders>
            <w:shd w:val="clear" w:color="auto" w:fill="FFFFFF"/>
          </w:tcPr>
          <w:p w14:paraId="60D17A91" w14:textId="71BFBC3A"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.628</w:t>
            </w:r>
          </w:p>
        </w:tc>
        <w:tc>
          <w:tcPr>
            <w:tcW w:w="754" w:type="pct"/>
            <w:tcBorders>
              <w:top w:val="none" w:sz="0" w:space="0" w:color="000000"/>
              <w:left w:val="none" w:sz="0" w:space="0" w:color="000000"/>
              <w:bottom w:val="none" w:sz="0" w:space="0" w:color="000000"/>
              <w:right w:val="none" w:sz="0" w:space="0" w:color="000000"/>
            </w:tcBorders>
            <w:shd w:val="clear" w:color="auto" w:fill="FFFFFF"/>
          </w:tcPr>
          <w:p w14:paraId="394EE835" w14:textId="7DA79E1A"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.754</w:t>
            </w:r>
          </w:p>
        </w:tc>
        <w:tc>
          <w:tcPr>
            <w:tcW w:w="622" w:type="pct"/>
            <w:tcBorders>
              <w:top w:val="none" w:sz="0" w:space="0" w:color="000000"/>
              <w:left w:val="none" w:sz="0" w:space="0" w:color="000000"/>
              <w:bottom w:val="none" w:sz="0" w:space="0" w:color="000000"/>
              <w:right w:val="none" w:sz="0" w:space="0" w:color="000000"/>
            </w:tcBorders>
            <w:shd w:val="clear" w:color="auto" w:fill="FFFFFF"/>
          </w:tcPr>
          <w:p w14:paraId="2B526C83" w14:textId="460844C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rFonts w:eastAsia="Times New Roman"/>
                <w:color w:val="000000"/>
              </w:rPr>
              <w:t>1.532</w:t>
            </w:r>
          </w:p>
        </w:tc>
      </w:tr>
      <w:tr w:rsidR="009629A7" w14:paraId="265F9AF0" w14:textId="1419AD9E" w:rsidTr="009629A7">
        <w:trPr>
          <w:trHeight w:val="642"/>
        </w:trPr>
        <w:tc>
          <w:tcPr>
            <w:tcW w:w="110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2C8EC90D" w14:textId="2089DF3A" w:rsidR="009629A7" w:rsidRPr="00043970" w:rsidRDefault="009629A7" w:rsidP="00AF482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Glicentin</w:t>
            </w:r>
            <w:r>
              <w:rPr>
                <w:rFonts w:eastAsia="Times New Roman"/>
                <w:b/>
                <w:color w:val="000000"/>
                <w:szCs w:val="24"/>
              </w:rPr>
              <w:t xml:space="preserve"> </w:t>
            </w:r>
            <w:r>
              <w:rPr>
                <w:b/>
              </w:rPr>
              <w:t>(</w:t>
            </w:r>
            <w:proofErr w:type="spellStart"/>
            <w:r>
              <w:rPr>
                <w:b/>
              </w:rPr>
              <w:t>pM</w:t>
            </w:r>
            <w:proofErr w:type="spellEnd"/>
            <w:r>
              <w:rPr>
                <w:b/>
              </w:rPr>
              <w:t>)</w:t>
            </w:r>
          </w:p>
        </w:tc>
        <w:tc>
          <w:tcPr>
            <w:tcW w:w="906"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CC3C69E"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color w:val="000000"/>
              </w:rPr>
            </w:pPr>
            <w:r>
              <w:rPr>
                <w:color w:val="000000"/>
                <w:shd w:val="clear" w:color="auto" w:fill="FFFFFF"/>
              </w:rPr>
              <w:t>27.59 (18.92)</w:t>
            </w:r>
          </w:p>
        </w:tc>
        <w:tc>
          <w:tcPr>
            <w:tcW w:w="933"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tcPr>
          <w:p w14:paraId="7DA7A5DD"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color w:val="000000"/>
                <w:shd w:val="clear" w:color="auto" w:fill="FFFFFF"/>
              </w:rPr>
              <w:t>32.97 (25.76)</w:t>
            </w:r>
          </w:p>
        </w:tc>
        <w:tc>
          <w:tcPr>
            <w:tcW w:w="682" w:type="pct"/>
            <w:tcBorders>
              <w:top w:val="none" w:sz="0" w:space="0" w:color="000000"/>
              <w:left w:val="none" w:sz="0" w:space="0" w:color="000000"/>
              <w:bottom w:val="none" w:sz="0" w:space="0" w:color="000000"/>
              <w:right w:val="none" w:sz="0" w:space="0" w:color="000000"/>
            </w:tcBorders>
            <w:shd w:val="clear" w:color="auto" w:fill="FFFFFF"/>
          </w:tcPr>
          <w:p w14:paraId="4F4F0CC8" w14:textId="11573DD8"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.302</w:t>
            </w:r>
          </w:p>
        </w:tc>
        <w:tc>
          <w:tcPr>
            <w:tcW w:w="754" w:type="pct"/>
            <w:tcBorders>
              <w:top w:val="none" w:sz="0" w:space="0" w:color="000000"/>
              <w:left w:val="none" w:sz="0" w:space="0" w:color="000000"/>
              <w:bottom w:val="none" w:sz="0" w:space="0" w:color="000000"/>
              <w:right w:val="none" w:sz="0" w:space="0" w:color="000000"/>
            </w:tcBorders>
            <w:shd w:val="clear" w:color="auto" w:fill="FFFFFF"/>
          </w:tcPr>
          <w:p w14:paraId="5E7842D9" w14:textId="5AC1959A"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.453</w:t>
            </w:r>
          </w:p>
        </w:tc>
        <w:tc>
          <w:tcPr>
            <w:tcW w:w="622" w:type="pct"/>
            <w:tcBorders>
              <w:top w:val="none" w:sz="0" w:space="0" w:color="000000"/>
              <w:left w:val="none" w:sz="0" w:space="0" w:color="000000"/>
              <w:bottom w:val="none" w:sz="0" w:space="0" w:color="000000"/>
              <w:right w:val="none" w:sz="0" w:space="0" w:color="000000"/>
            </w:tcBorders>
            <w:shd w:val="clear" w:color="auto" w:fill="FFFFFF"/>
          </w:tcPr>
          <w:p w14:paraId="38263993" w14:textId="58A53B0F"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sidRPr="00BC077C">
              <w:rPr>
                <w:color w:val="000000"/>
                <w:shd w:val="clear" w:color="auto" w:fill="FFFFFF"/>
              </w:rPr>
              <w:t>1.000</w:t>
            </w:r>
          </w:p>
        </w:tc>
      </w:tr>
      <w:tr w:rsidR="009629A7" w14:paraId="2123CFB0" w14:textId="2D7B9891" w:rsidTr="0029689D">
        <w:trPr>
          <w:trHeight w:val="63"/>
        </w:trPr>
        <w:tc>
          <w:tcPr>
            <w:tcW w:w="1103"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3CC7B04C" w14:textId="5776C273" w:rsidR="009629A7" w:rsidRPr="00043970" w:rsidRDefault="009629A7" w:rsidP="00AF4822">
            <w:pPr>
              <w:pBdr>
                <w:top w:val="none" w:sz="0" w:space="0" w:color="000000"/>
                <w:left w:val="none" w:sz="0" w:space="0" w:color="000000"/>
                <w:bottom w:val="none" w:sz="0" w:space="0" w:color="000000"/>
                <w:right w:val="none" w:sz="0" w:space="0" w:color="000000"/>
              </w:pBdr>
              <w:spacing w:before="100" w:after="100" w:line="360" w:lineRule="auto"/>
              <w:ind w:left="100" w:right="100" w:firstLine="184"/>
              <w:rPr>
                <w:rFonts w:eastAsia="Times New Roman"/>
                <w:b/>
                <w:color w:val="000000"/>
              </w:rPr>
            </w:pPr>
            <w:r w:rsidRPr="00043970">
              <w:rPr>
                <w:rFonts w:eastAsia="Times New Roman"/>
                <w:b/>
                <w:color w:val="000000"/>
                <w:szCs w:val="24"/>
              </w:rPr>
              <w:t>Glucagon</w:t>
            </w:r>
            <w:r>
              <w:rPr>
                <w:rFonts w:eastAsia="Times New Roman"/>
                <w:b/>
                <w:color w:val="000000"/>
                <w:szCs w:val="24"/>
              </w:rPr>
              <w:t xml:space="preserve"> </w:t>
            </w:r>
            <w:r>
              <w:rPr>
                <w:b/>
              </w:rPr>
              <w:t>(</w:t>
            </w:r>
            <w:proofErr w:type="spellStart"/>
            <w:r>
              <w:rPr>
                <w:b/>
              </w:rPr>
              <w:t>pM</w:t>
            </w:r>
            <w:proofErr w:type="spellEnd"/>
            <w:r>
              <w:rPr>
                <w:b/>
              </w:rPr>
              <w:t>)</w:t>
            </w:r>
          </w:p>
        </w:tc>
        <w:tc>
          <w:tcPr>
            <w:tcW w:w="906"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53C3158C"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41"/>
              <w:jc w:val="center"/>
              <w:rPr>
                <w:rFonts w:eastAsia="Times New Roman"/>
                <w:color w:val="000000"/>
              </w:rPr>
            </w:pPr>
            <w:r>
              <w:rPr>
                <w:color w:val="000000"/>
                <w:shd w:val="clear" w:color="auto" w:fill="FFFFFF"/>
              </w:rPr>
              <w:t>4.52 (2.76)</w:t>
            </w:r>
          </w:p>
        </w:tc>
        <w:tc>
          <w:tcPr>
            <w:tcW w:w="933" w:type="pct"/>
            <w:tcBorders>
              <w:top w:val="none" w:sz="0" w:space="0" w:color="000000"/>
              <w:left w:val="none" w:sz="0" w:space="0" w:color="000000"/>
              <w:bottom w:val="single" w:sz="4" w:space="0" w:color="000000"/>
              <w:right w:val="none" w:sz="0" w:space="0" w:color="000000"/>
            </w:tcBorders>
            <w:shd w:val="clear" w:color="auto" w:fill="FFFFFF"/>
            <w:tcMar>
              <w:top w:w="0" w:type="dxa"/>
              <w:left w:w="0" w:type="dxa"/>
              <w:bottom w:w="0" w:type="dxa"/>
              <w:right w:w="0" w:type="dxa"/>
            </w:tcMar>
          </w:tcPr>
          <w:p w14:paraId="7E1E6FB3" w14:textId="77777777"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rFonts w:eastAsia="Times New Roman"/>
                <w:color w:val="000000"/>
              </w:rPr>
            </w:pPr>
            <w:r>
              <w:rPr>
                <w:color w:val="000000"/>
                <w:shd w:val="clear" w:color="auto" w:fill="FFFFFF"/>
              </w:rPr>
              <w:t>3.47 (3.1)</w:t>
            </w:r>
          </w:p>
        </w:tc>
        <w:tc>
          <w:tcPr>
            <w:tcW w:w="682" w:type="pct"/>
            <w:tcBorders>
              <w:top w:val="none" w:sz="0" w:space="0" w:color="000000"/>
              <w:left w:val="none" w:sz="0" w:space="0" w:color="000000"/>
              <w:bottom w:val="single" w:sz="4" w:space="0" w:color="000000"/>
              <w:right w:val="none" w:sz="0" w:space="0" w:color="000000"/>
            </w:tcBorders>
            <w:shd w:val="clear" w:color="auto" w:fill="FFFFFF"/>
          </w:tcPr>
          <w:p w14:paraId="6A6A686F" w14:textId="65BB985E"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.077</w:t>
            </w:r>
          </w:p>
        </w:tc>
        <w:tc>
          <w:tcPr>
            <w:tcW w:w="754" w:type="pct"/>
            <w:tcBorders>
              <w:top w:val="none" w:sz="0" w:space="0" w:color="000000"/>
              <w:left w:val="none" w:sz="0" w:space="0" w:color="000000"/>
              <w:bottom w:val="single" w:sz="4" w:space="0" w:color="000000"/>
              <w:right w:val="none" w:sz="0" w:space="0" w:color="000000"/>
            </w:tcBorders>
            <w:shd w:val="clear" w:color="auto" w:fill="FFFFFF"/>
          </w:tcPr>
          <w:p w14:paraId="6C8D0FB1" w14:textId="752F353F"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.154</w:t>
            </w:r>
          </w:p>
        </w:tc>
        <w:tc>
          <w:tcPr>
            <w:tcW w:w="622" w:type="pct"/>
            <w:tcBorders>
              <w:top w:val="none" w:sz="0" w:space="0" w:color="000000"/>
              <w:left w:val="none" w:sz="0" w:space="0" w:color="000000"/>
              <w:bottom w:val="single" w:sz="4" w:space="0" w:color="000000"/>
              <w:right w:val="none" w:sz="0" w:space="0" w:color="000000"/>
            </w:tcBorders>
            <w:shd w:val="clear" w:color="auto" w:fill="FFFFFF"/>
          </w:tcPr>
          <w:p w14:paraId="7998B62F" w14:textId="0DEFE4E1" w:rsidR="009629A7" w:rsidRDefault="009629A7" w:rsidP="009629A7">
            <w:pPr>
              <w:pBdr>
                <w:top w:val="none" w:sz="0" w:space="0" w:color="000000"/>
                <w:left w:val="none" w:sz="0" w:space="0" w:color="000000"/>
                <w:bottom w:val="none" w:sz="0" w:space="0" w:color="000000"/>
                <w:right w:val="none" w:sz="0" w:space="0" w:color="000000"/>
              </w:pBdr>
              <w:spacing w:before="100" w:after="100" w:line="360" w:lineRule="auto"/>
              <w:ind w:left="100" w:right="100" w:firstLine="73"/>
              <w:jc w:val="center"/>
              <w:rPr>
                <w:color w:val="000000"/>
                <w:shd w:val="clear" w:color="auto" w:fill="FFFFFF"/>
              </w:rPr>
            </w:pPr>
            <w:r>
              <w:rPr>
                <w:color w:val="000000"/>
                <w:shd w:val="clear" w:color="auto" w:fill="FFFFFF"/>
              </w:rPr>
              <w:t>1.000</w:t>
            </w:r>
          </w:p>
        </w:tc>
      </w:tr>
    </w:tbl>
    <w:p w14:paraId="04C277F7" w14:textId="1CB91EFD" w:rsidR="00246EB7" w:rsidRDefault="002F3C76" w:rsidP="002358D4">
      <w:r w:rsidRPr="00FF210E">
        <w:rPr>
          <w:i/>
        </w:rPr>
        <w:lastRenderedPageBreak/>
        <w:t>Note.</w:t>
      </w:r>
      <w:r>
        <w:t xml:space="preserve"> </w:t>
      </w:r>
      <w:r w:rsidR="006530AE">
        <w:softHyphen/>
        <w:t>GIP=</w:t>
      </w:r>
      <w:r w:rsidR="006530AE" w:rsidRPr="002F4589">
        <w:rPr>
          <w:szCs w:val="24"/>
        </w:rPr>
        <w:t>glucose-dependent insulinotropic polypeptide</w:t>
      </w:r>
      <w:r w:rsidR="006530AE">
        <w:rPr>
          <w:szCs w:val="24"/>
        </w:rPr>
        <w:t>; GLP-1=</w:t>
      </w:r>
      <w:r w:rsidR="006530AE" w:rsidRPr="00904B97">
        <w:rPr>
          <w:szCs w:val="24"/>
        </w:rPr>
        <w:t xml:space="preserve"> </w:t>
      </w:r>
      <w:r w:rsidR="006530AE" w:rsidRPr="002F4589">
        <w:rPr>
          <w:szCs w:val="24"/>
        </w:rPr>
        <w:t>glucagon-like peptide-</w:t>
      </w:r>
      <w:r w:rsidR="006530AE">
        <w:rPr>
          <w:szCs w:val="24"/>
        </w:rPr>
        <w:t>1</w:t>
      </w:r>
      <w:r w:rsidR="006530AE">
        <w:t>;</w:t>
      </w:r>
      <w:r w:rsidR="00A15484">
        <w:t xml:space="preserve"> mmol/l=</w:t>
      </w:r>
      <w:r w:rsidR="00A15484" w:rsidRPr="00AC5FAF">
        <w:t xml:space="preserve"> </w:t>
      </w:r>
      <w:r w:rsidR="00A15484">
        <w:t xml:space="preserve">millimoles per litre; </w:t>
      </w:r>
      <w:proofErr w:type="spellStart"/>
      <w:r w:rsidR="00A15484">
        <w:t>pM</w:t>
      </w:r>
      <w:proofErr w:type="spellEnd"/>
      <w:r w:rsidR="00A15484">
        <w:t>=picomolar;</w:t>
      </w:r>
      <w:r w:rsidR="006530AE">
        <w:t xml:space="preserve"> </w:t>
      </w:r>
      <w:proofErr w:type="spellStart"/>
      <w:r w:rsidR="006530AE">
        <w:t>recAN</w:t>
      </w:r>
      <w:proofErr w:type="spellEnd"/>
      <w:r w:rsidR="006530AE">
        <w:t xml:space="preserve">=long-term recovered anorexia nervosa patients; </w:t>
      </w:r>
      <w:r>
        <w:t xml:space="preserve">HC=healthy controls. </w:t>
      </w:r>
      <w:r w:rsidR="006530AE">
        <w:t>Group</w:t>
      </w:r>
      <w:r>
        <w:t xml:space="preserve"> “−” do</w:t>
      </w:r>
      <w:r w:rsidR="006530AE">
        <w:t>es</w:t>
      </w:r>
      <w:r>
        <w:t xml:space="preserve"> not use oral contraceptives (OC); </w:t>
      </w:r>
      <w:r w:rsidR="006530AE">
        <w:t>group</w:t>
      </w:r>
      <w:r>
        <w:t xml:space="preserve"> “+” use</w:t>
      </w:r>
      <w:r w:rsidR="006530AE">
        <w:t>s</w:t>
      </w:r>
      <w:r>
        <w:t xml:space="preserve"> OC. </w:t>
      </w:r>
      <w:proofErr w:type="spellStart"/>
      <w:r>
        <w:t>Mean</w:t>
      </w:r>
      <w:r w:rsidR="006530AE">
        <w:t>±</w:t>
      </w:r>
      <w:r>
        <w:t>standard</w:t>
      </w:r>
      <w:proofErr w:type="spellEnd"/>
      <w:r>
        <w:t xml:space="preserve"> deviation is reported for normally distributed parameters; median (interquartile range) is provided for non-normally distributed data. GIP, GLP-1, glicentin, and insulin concentrations were log₁₀-transformed prior to group comparisons. </w:t>
      </w:r>
      <w:r w:rsidR="00F500FF">
        <w:t xml:space="preserve">ANCOVAs were conducted with age as a covariate. Asterisks indicate statistical significance (two-tailed): </w:t>
      </w:r>
      <w:r w:rsidR="00817791">
        <w:rPr>
          <w:i/>
        </w:rPr>
        <w:t>p</w:t>
      </w:r>
      <w:r w:rsidR="00F500FF">
        <w:t xml:space="preserve">&lt;.01 (**), </w:t>
      </w:r>
      <w:r w:rsidR="00817791" w:rsidRPr="006530AE">
        <w:rPr>
          <w:i/>
          <w:iCs/>
        </w:rPr>
        <w:t>p</w:t>
      </w:r>
      <w:r w:rsidR="00F500FF">
        <w:t xml:space="preserve">&lt;.05 (*). </w:t>
      </w:r>
      <w:r w:rsidRPr="00584ADA">
        <w:rPr>
          <w:i/>
        </w:rPr>
        <w:t>P</w:t>
      </w:r>
      <w:r>
        <w:t>-values were adjusted for multiple comparisons using the False Discovery Rate (FDR) correction method</w:t>
      </w:r>
      <w:r w:rsidR="007C740D">
        <w:t xml:space="preserve"> </w:t>
      </w:r>
      <w:r w:rsidR="007C740D">
        <w:fldChar w:fldCharType="begin"/>
      </w:r>
      <w:r w:rsidR="00EA7E5F">
        <w:instrText xml:space="preserve"> ADDIN ZOTERO_ITEM CSL_CITATION {"citationID":"5vA5rHiv","properties":{"formattedCitation":"(1)","plainCitation":"(1)","noteIndex":0},"citationItems":[{"id":164,"uris":["http://zotero.org/groups/5162839/items/DXENLNF6"],"itemData":{"id":164,"type":"article-journal","abstract":"SUMMARY\n            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(Methodological)","DOI":"10.1111/j.2517-6161.1995.tb02031.x","ISSN":"0035-9246, 2517-6161","issue":"1","journalAbbreviation":"Journal of the Royal Statistical Society: Series B (Methodological)","language":"en","license":"http://onlinelibrary.wiley.com/termsAndConditions#vor","page":"289-300","source":"DOI.org (Crossref)","title":"Controlling the False Discovery Rate: A Practical and Powerful Approach to Multiple Testing","title-short":"Controlling the False Discovery Rate","volume":"57","author":[{"family":"Benjamini","given":"Yoav"},{"family":"Hochberg","given":"Yosef"}],"issued":{"date-parts":[["1995",1]]}}}],"schema":"https://github.com/citation-style-language/schema/raw/master/csl-citation.json"} </w:instrText>
      </w:r>
      <w:r w:rsidR="007C740D">
        <w:fldChar w:fldCharType="separate"/>
      </w:r>
      <w:r w:rsidR="00EA7E5F" w:rsidRPr="00EA7E5F">
        <w:t>(1)</w:t>
      </w:r>
      <w:r w:rsidR="007C740D">
        <w:fldChar w:fldCharType="end"/>
      </w:r>
      <w:r w:rsidRPr="00584ADA">
        <w:rPr>
          <w:b/>
        </w:rPr>
        <w:t>.</w:t>
      </w:r>
      <w:r>
        <w:rPr>
          <w:b/>
        </w:rPr>
        <w:t xml:space="preserve"> </w:t>
      </w:r>
      <w:r w:rsidRPr="00584ADA">
        <w:rPr>
          <w:rStyle w:val="Strong"/>
          <w:b w:val="0"/>
        </w:rPr>
        <w:t>Bayes factors (</w:t>
      </w:r>
      <w:r w:rsidRPr="006530AE">
        <w:rPr>
          <w:rStyle w:val="Strong"/>
          <w:b w:val="0"/>
          <w:i/>
          <w:iCs/>
        </w:rPr>
        <w:t>BF₀₁</w:t>
      </w:r>
      <w:r w:rsidRPr="00584ADA">
        <w:rPr>
          <w:rStyle w:val="Strong"/>
          <w:b w:val="0"/>
        </w:rPr>
        <w:t>)&gt;1 indicate increasing support for the nul</w:t>
      </w:r>
      <w:r>
        <w:rPr>
          <w:rStyle w:val="Strong"/>
          <w:b w:val="0"/>
        </w:rPr>
        <w:t>l</w:t>
      </w:r>
      <w:r w:rsidRPr="00584ADA">
        <w:rPr>
          <w:rStyle w:val="Strong"/>
          <w:b w:val="0"/>
        </w:rPr>
        <w:t xml:space="preserve"> hypothesis (no group difference)</w:t>
      </w:r>
      <w:r>
        <w:t>.</w:t>
      </w:r>
    </w:p>
    <w:p w14:paraId="4A16F14F" w14:textId="77777777" w:rsidR="002358D4" w:rsidRDefault="002358D4" w:rsidP="001B02E1">
      <w:pPr>
        <w:pStyle w:val="Heading3"/>
        <w:numPr>
          <w:ilvl w:val="0"/>
          <w:numId w:val="0"/>
        </w:numPr>
        <w:sectPr w:rsidR="002358D4" w:rsidSect="002358D4">
          <w:pgSz w:w="16838" w:h="11906" w:orient="landscape"/>
          <w:pgMar w:top="1417" w:right="1417" w:bottom="1417" w:left="1134" w:header="708" w:footer="708" w:gutter="0"/>
          <w:cols w:space="708"/>
          <w:docGrid w:linePitch="360"/>
        </w:sectPr>
      </w:pPr>
    </w:p>
    <w:p w14:paraId="186CD254" w14:textId="75EB5E3D" w:rsidR="0061630C" w:rsidRDefault="00510BFD" w:rsidP="001B02E1">
      <w:pPr>
        <w:pStyle w:val="Heading3"/>
        <w:numPr>
          <w:ilvl w:val="0"/>
          <w:numId w:val="0"/>
        </w:numPr>
      </w:pPr>
      <w:r>
        <w:lastRenderedPageBreak/>
        <w:t>2.3.3</w:t>
      </w:r>
      <w:r w:rsidR="00354518">
        <w:t xml:space="preserve"> </w:t>
      </w:r>
      <w:proofErr w:type="spellStart"/>
      <w:r w:rsidR="00FD704F">
        <w:t>R</w:t>
      </w:r>
      <w:r w:rsidR="00B917A4">
        <w:t>ecAN</w:t>
      </w:r>
      <w:proofErr w:type="spellEnd"/>
      <w:r w:rsidR="00127CE7" w:rsidRPr="002B128E">
        <w:rPr>
          <w:vertAlign w:val="superscript"/>
        </w:rPr>
        <w:sym w:font="Symbol" w:char="F02D"/>
      </w:r>
      <w:r w:rsidR="00127CE7">
        <w:t xml:space="preserve"> </w:t>
      </w:r>
      <w:r w:rsidR="00B917A4">
        <w:t>group</w:t>
      </w:r>
    </w:p>
    <w:p w14:paraId="5149BCEF" w14:textId="29EAE2CD" w:rsidR="00127CE7" w:rsidRDefault="00127CE7" w:rsidP="006530AE">
      <w:r>
        <w:t xml:space="preserve">No significant correlations were found between blood parameters and time since recovery (in months) in the </w:t>
      </w:r>
      <w:proofErr w:type="spellStart"/>
      <w:r>
        <w:t>recAN</w:t>
      </w:r>
      <w:proofErr w:type="spellEnd"/>
      <w:r w:rsidRPr="002B128E">
        <w:rPr>
          <w:vertAlign w:val="superscript"/>
        </w:rPr>
        <w:sym w:font="Symbol" w:char="F02D"/>
      </w:r>
      <w:r>
        <w:t xml:space="preserve"> group</w:t>
      </w:r>
      <w:r w:rsidR="009629A7">
        <w:t>.</w:t>
      </w:r>
    </w:p>
    <w:p w14:paraId="330B9B74" w14:textId="77777777" w:rsidR="009629A7" w:rsidRPr="00127CE7" w:rsidRDefault="009629A7" w:rsidP="001B02E1">
      <w:pPr>
        <w:ind w:firstLine="0"/>
        <w:rPr>
          <w:lang w:val="en-US"/>
        </w:rPr>
      </w:pPr>
    </w:p>
    <w:p w14:paraId="39DE09C3" w14:textId="6A83DA4C" w:rsidR="0061630C" w:rsidRPr="003D048A" w:rsidRDefault="0061630C" w:rsidP="001B02E1">
      <w:pPr>
        <w:ind w:firstLine="0"/>
        <w:rPr>
          <w:rFonts w:cs="Lohit Devanagari"/>
          <w:i/>
          <w:iCs/>
          <w:szCs w:val="24"/>
        </w:rPr>
      </w:pPr>
      <w:r w:rsidRPr="0061630C">
        <w:rPr>
          <w:rFonts w:cs="Lohit Devanagari"/>
          <w:b/>
          <w:i/>
          <w:iCs/>
          <w:szCs w:val="24"/>
        </w:rPr>
        <w:t>Supplemental Table 6.</w:t>
      </w:r>
      <w:r>
        <w:rPr>
          <w:lang w:val="en-US"/>
        </w:rPr>
        <w:t xml:space="preserve"> </w:t>
      </w:r>
      <w:proofErr w:type="spellStart"/>
      <w:r w:rsidR="002B128E" w:rsidRPr="002B128E">
        <w:rPr>
          <w:i/>
        </w:rPr>
        <w:t>RecAN</w:t>
      </w:r>
      <w:proofErr w:type="spellEnd"/>
      <w:r w:rsidR="002B128E" w:rsidRPr="002B128E">
        <w:rPr>
          <w:i/>
          <w:vertAlign w:val="superscript"/>
        </w:rPr>
        <w:sym w:font="Symbol" w:char="F02D"/>
      </w:r>
      <w:r w:rsidR="002B128E" w:rsidRPr="002B128E">
        <w:rPr>
          <w:i/>
        </w:rPr>
        <w:t xml:space="preserve"> group:</w:t>
      </w:r>
      <w:r w:rsidR="002B128E" w:rsidRPr="003D048A">
        <w:rPr>
          <w:rFonts w:cs="Lohit Devanagari"/>
          <w:i/>
          <w:iCs/>
          <w:szCs w:val="24"/>
        </w:rPr>
        <w:t xml:space="preserve"> </w:t>
      </w:r>
      <w:r w:rsidR="003D048A" w:rsidRPr="003D048A">
        <w:rPr>
          <w:rFonts w:cs="Lohit Devanagari"/>
          <w:i/>
          <w:iCs/>
          <w:szCs w:val="24"/>
        </w:rPr>
        <w:t xml:space="preserve">Pearson’s </w:t>
      </w:r>
      <w:r w:rsidR="003D048A">
        <w:rPr>
          <w:rFonts w:cs="Lohit Devanagari"/>
          <w:i/>
          <w:iCs/>
          <w:szCs w:val="24"/>
        </w:rPr>
        <w:t>c</w:t>
      </w:r>
      <w:r w:rsidR="003D048A" w:rsidRPr="003D048A">
        <w:rPr>
          <w:rFonts w:cs="Lohit Devanagari"/>
          <w:i/>
          <w:iCs/>
          <w:szCs w:val="24"/>
        </w:rPr>
        <w:t>orrelations of the concentrations of blood glucose and hormone concentrations and time since recover</w:t>
      </w:r>
      <w:r w:rsidR="008F1C2D">
        <w:rPr>
          <w:rFonts w:cs="Lohit Devanagari"/>
          <w:i/>
          <w:iCs/>
          <w:szCs w:val="24"/>
        </w:rPr>
        <w:t>y</w:t>
      </w:r>
      <w:r w:rsidR="003D048A">
        <w:rPr>
          <w:rFonts w:cs="Lohit Devanagari"/>
          <w:i/>
          <w:iCs/>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9"/>
        <w:gridCol w:w="1385"/>
        <w:gridCol w:w="1202"/>
        <w:gridCol w:w="1207"/>
        <w:gridCol w:w="1134"/>
        <w:gridCol w:w="1418"/>
        <w:gridCol w:w="1417"/>
      </w:tblGrid>
      <w:tr w:rsidR="003D048A" w14:paraId="6BBB088A" w14:textId="77777777" w:rsidTr="009629A7">
        <w:trPr>
          <w:trHeight w:val="680"/>
        </w:trPr>
        <w:tc>
          <w:tcPr>
            <w:tcW w:w="1309" w:type="dxa"/>
            <w:tcBorders>
              <w:top w:val="single" w:sz="4" w:space="0" w:color="auto"/>
              <w:bottom w:val="single" w:sz="4" w:space="0" w:color="auto"/>
            </w:tcBorders>
          </w:tcPr>
          <w:p w14:paraId="3F325A2A" w14:textId="77777777" w:rsidR="003D048A" w:rsidRDefault="003D048A">
            <w:pPr>
              <w:suppressAutoHyphens w:val="0"/>
              <w:spacing w:after="160" w:line="259" w:lineRule="auto"/>
              <w:ind w:firstLine="0"/>
              <w:jc w:val="left"/>
            </w:pPr>
          </w:p>
        </w:tc>
        <w:tc>
          <w:tcPr>
            <w:tcW w:w="1385" w:type="dxa"/>
            <w:tcBorders>
              <w:top w:val="single" w:sz="4" w:space="0" w:color="auto"/>
              <w:bottom w:val="single" w:sz="4" w:space="0" w:color="auto"/>
            </w:tcBorders>
            <w:vAlign w:val="center"/>
          </w:tcPr>
          <w:p w14:paraId="09B9CEC9" w14:textId="50E4D446" w:rsidR="003D048A" w:rsidRPr="003C1EC1" w:rsidRDefault="003D048A" w:rsidP="00AF791C">
            <w:pPr>
              <w:spacing w:before="100" w:after="100" w:line="360" w:lineRule="auto"/>
              <w:ind w:left="100" w:right="100" w:firstLine="0"/>
              <w:jc w:val="center"/>
              <w:rPr>
                <w:rFonts w:eastAsia="Times New Roman"/>
                <w:b/>
                <w:color w:val="000000"/>
                <w:szCs w:val="24"/>
              </w:rPr>
            </w:pPr>
            <w:r w:rsidRPr="00043970">
              <w:rPr>
                <w:rFonts w:eastAsia="Times New Roman"/>
                <w:b/>
                <w:color w:val="000000"/>
                <w:szCs w:val="24"/>
              </w:rPr>
              <w:t>Glucose</w:t>
            </w:r>
            <w:r>
              <w:rPr>
                <w:rFonts w:eastAsia="Times New Roman"/>
                <w:b/>
                <w:color w:val="000000"/>
                <w:szCs w:val="24"/>
              </w:rPr>
              <w:t xml:space="preserve"> </w:t>
            </w:r>
            <w:r w:rsidRPr="003C1EC1">
              <w:rPr>
                <w:rFonts w:eastAsia="Times New Roman"/>
                <w:b/>
                <w:color w:val="000000"/>
                <w:szCs w:val="24"/>
              </w:rPr>
              <w:t>(mmol/l)</w:t>
            </w:r>
          </w:p>
        </w:tc>
        <w:tc>
          <w:tcPr>
            <w:tcW w:w="1202" w:type="dxa"/>
            <w:tcBorders>
              <w:top w:val="single" w:sz="4" w:space="0" w:color="auto"/>
              <w:bottom w:val="single" w:sz="4" w:space="0" w:color="auto"/>
            </w:tcBorders>
            <w:vAlign w:val="center"/>
          </w:tcPr>
          <w:p w14:paraId="383E9A1C" w14:textId="64100B43" w:rsidR="003D048A" w:rsidRPr="003C1EC1" w:rsidRDefault="003D048A" w:rsidP="00AF791C">
            <w:pPr>
              <w:spacing w:before="100" w:after="100" w:line="360" w:lineRule="auto"/>
              <w:ind w:left="100" w:right="100" w:firstLine="0"/>
              <w:jc w:val="center"/>
              <w:rPr>
                <w:rFonts w:eastAsia="Times New Roman"/>
                <w:b/>
                <w:color w:val="000000"/>
                <w:szCs w:val="24"/>
              </w:rPr>
            </w:pPr>
            <w:r w:rsidRPr="00043970">
              <w:rPr>
                <w:rFonts w:eastAsia="Times New Roman"/>
                <w:b/>
                <w:color w:val="000000"/>
                <w:szCs w:val="24"/>
              </w:rPr>
              <w:t>Insulin</w:t>
            </w:r>
            <w:r>
              <w:rPr>
                <w:rFonts w:eastAsia="Times New Roman"/>
                <w:b/>
                <w:color w:val="000000"/>
                <w:szCs w:val="24"/>
              </w:rPr>
              <w:t xml:space="preserve"> </w:t>
            </w:r>
            <w:r w:rsidRPr="003C1EC1">
              <w:rPr>
                <w:rFonts w:eastAsia="Times New Roman"/>
                <w:b/>
                <w:color w:val="000000"/>
                <w:szCs w:val="24"/>
              </w:rPr>
              <w:t>(</w:t>
            </w:r>
            <w:proofErr w:type="spellStart"/>
            <w:r w:rsidRPr="003C1EC1">
              <w:rPr>
                <w:rFonts w:eastAsia="Times New Roman"/>
                <w:b/>
                <w:color w:val="000000"/>
                <w:szCs w:val="24"/>
              </w:rPr>
              <w:t>pM</w:t>
            </w:r>
            <w:proofErr w:type="spellEnd"/>
            <w:r w:rsidRPr="003C1EC1">
              <w:rPr>
                <w:rFonts w:eastAsia="Times New Roman"/>
                <w:b/>
                <w:color w:val="000000"/>
                <w:szCs w:val="24"/>
              </w:rPr>
              <w:t>)</w:t>
            </w:r>
          </w:p>
        </w:tc>
        <w:tc>
          <w:tcPr>
            <w:tcW w:w="1207" w:type="dxa"/>
            <w:tcBorders>
              <w:top w:val="single" w:sz="4" w:space="0" w:color="auto"/>
              <w:bottom w:val="single" w:sz="4" w:space="0" w:color="auto"/>
            </w:tcBorders>
            <w:vAlign w:val="center"/>
          </w:tcPr>
          <w:p w14:paraId="54AAFAA3" w14:textId="178728EC" w:rsidR="003D048A" w:rsidRPr="003C1EC1" w:rsidRDefault="003D048A" w:rsidP="00AF791C">
            <w:pPr>
              <w:spacing w:before="100" w:after="100" w:line="360" w:lineRule="auto"/>
              <w:ind w:left="100" w:right="100" w:firstLine="0"/>
              <w:jc w:val="center"/>
              <w:rPr>
                <w:rFonts w:eastAsia="Times New Roman"/>
                <w:b/>
                <w:color w:val="000000"/>
                <w:szCs w:val="24"/>
              </w:rPr>
            </w:pPr>
            <w:r w:rsidRPr="00043970">
              <w:rPr>
                <w:rFonts w:eastAsia="Times New Roman"/>
                <w:b/>
                <w:color w:val="000000"/>
                <w:szCs w:val="24"/>
              </w:rPr>
              <w:t>GIP</w:t>
            </w:r>
            <w:r>
              <w:rPr>
                <w:rFonts w:eastAsia="Times New Roman"/>
                <w:b/>
                <w:color w:val="000000"/>
                <w:szCs w:val="24"/>
              </w:rPr>
              <w:t xml:space="preserve"> </w:t>
            </w:r>
            <w:r w:rsidRPr="003C1EC1">
              <w:rPr>
                <w:rFonts w:eastAsia="Times New Roman"/>
                <w:b/>
                <w:color w:val="000000"/>
                <w:szCs w:val="24"/>
              </w:rPr>
              <w:t>(</w:t>
            </w:r>
            <w:proofErr w:type="spellStart"/>
            <w:r w:rsidRPr="003C1EC1">
              <w:rPr>
                <w:rFonts w:eastAsia="Times New Roman"/>
                <w:b/>
                <w:color w:val="000000"/>
                <w:szCs w:val="24"/>
              </w:rPr>
              <w:t>pM</w:t>
            </w:r>
            <w:proofErr w:type="spellEnd"/>
            <w:r w:rsidRPr="003C1EC1">
              <w:rPr>
                <w:rFonts w:eastAsia="Times New Roman"/>
                <w:b/>
                <w:color w:val="000000"/>
                <w:szCs w:val="24"/>
              </w:rPr>
              <w:t>)</w:t>
            </w:r>
          </w:p>
        </w:tc>
        <w:tc>
          <w:tcPr>
            <w:tcW w:w="1134" w:type="dxa"/>
            <w:tcBorders>
              <w:top w:val="single" w:sz="4" w:space="0" w:color="auto"/>
              <w:bottom w:val="single" w:sz="4" w:space="0" w:color="auto"/>
            </w:tcBorders>
            <w:vAlign w:val="center"/>
          </w:tcPr>
          <w:p w14:paraId="3E5E3095" w14:textId="382D33DA" w:rsidR="003D048A" w:rsidRPr="003C1EC1" w:rsidRDefault="003D048A" w:rsidP="00AF791C">
            <w:pPr>
              <w:spacing w:before="100" w:after="100" w:line="360" w:lineRule="auto"/>
              <w:ind w:left="100" w:right="100" w:firstLine="0"/>
              <w:jc w:val="center"/>
              <w:rPr>
                <w:rFonts w:eastAsia="Times New Roman"/>
                <w:b/>
                <w:color w:val="000000"/>
                <w:szCs w:val="24"/>
              </w:rPr>
            </w:pPr>
            <w:r w:rsidRPr="00043970">
              <w:rPr>
                <w:rFonts w:eastAsia="Times New Roman"/>
                <w:b/>
                <w:color w:val="000000"/>
                <w:szCs w:val="24"/>
              </w:rPr>
              <w:t>GLP-1</w:t>
            </w:r>
            <w:r>
              <w:rPr>
                <w:rFonts w:eastAsia="Times New Roman"/>
                <w:b/>
                <w:color w:val="000000"/>
                <w:szCs w:val="24"/>
              </w:rPr>
              <w:t xml:space="preserve"> </w:t>
            </w:r>
            <w:r w:rsidRPr="003C1EC1">
              <w:rPr>
                <w:rFonts w:eastAsia="Times New Roman"/>
                <w:b/>
                <w:color w:val="000000"/>
                <w:szCs w:val="24"/>
              </w:rPr>
              <w:t>(</w:t>
            </w:r>
            <w:proofErr w:type="spellStart"/>
            <w:r w:rsidRPr="003C1EC1">
              <w:rPr>
                <w:rFonts w:eastAsia="Times New Roman"/>
                <w:b/>
                <w:color w:val="000000"/>
                <w:szCs w:val="24"/>
              </w:rPr>
              <w:t>pM</w:t>
            </w:r>
            <w:proofErr w:type="spellEnd"/>
            <w:r w:rsidRPr="003C1EC1">
              <w:rPr>
                <w:rFonts w:eastAsia="Times New Roman"/>
                <w:b/>
                <w:color w:val="000000"/>
                <w:szCs w:val="24"/>
              </w:rPr>
              <w:t>)</w:t>
            </w:r>
          </w:p>
        </w:tc>
        <w:tc>
          <w:tcPr>
            <w:tcW w:w="1418" w:type="dxa"/>
            <w:tcBorders>
              <w:top w:val="single" w:sz="4" w:space="0" w:color="auto"/>
              <w:bottom w:val="single" w:sz="4" w:space="0" w:color="auto"/>
            </w:tcBorders>
            <w:vAlign w:val="center"/>
          </w:tcPr>
          <w:p w14:paraId="3E7A9726" w14:textId="5DE3DBB2" w:rsidR="003D048A" w:rsidRPr="003C1EC1" w:rsidRDefault="003D048A" w:rsidP="00AF791C">
            <w:pPr>
              <w:spacing w:before="100" w:after="100" w:line="360" w:lineRule="auto"/>
              <w:ind w:left="100" w:right="100" w:firstLine="0"/>
              <w:jc w:val="center"/>
              <w:rPr>
                <w:rFonts w:eastAsia="Times New Roman"/>
                <w:b/>
                <w:color w:val="000000"/>
                <w:szCs w:val="24"/>
              </w:rPr>
            </w:pPr>
            <w:r w:rsidRPr="00043970">
              <w:rPr>
                <w:rFonts w:eastAsia="Times New Roman"/>
                <w:b/>
                <w:color w:val="000000"/>
                <w:szCs w:val="24"/>
              </w:rPr>
              <w:t>Glicentin</w:t>
            </w:r>
            <w:r>
              <w:rPr>
                <w:rFonts w:eastAsia="Times New Roman"/>
                <w:b/>
                <w:color w:val="000000"/>
                <w:szCs w:val="24"/>
              </w:rPr>
              <w:t xml:space="preserve"> </w:t>
            </w:r>
            <w:r w:rsidRPr="003C1EC1">
              <w:rPr>
                <w:rFonts w:eastAsia="Times New Roman"/>
                <w:b/>
                <w:color w:val="000000"/>
                <w:szCs w:val="24"/>
              </w:rPr>
              <w:t>(</w:t>
            </w:r>
            <w:proofErr w:type="spellStart"/>
            <w:r w:rsidRPr="003C1EC1">
              <w:rPr>
                <w:rFonts w:eastAsia="Times New Roman"/>
                <w:b/>
                <w:color w:val="000000"/>
                <w:szCs w:val="24"/>
              </w:rPr>
              <w:t>pM</w:t>
            </w:r>
            <w:proofErr w:type="spellEnd"/>
            <w:r w:rsidRPr="003C1EC1">
              <w:rPr>
                <w:rFonts w:eastAsia="Times New Roman"/>
                <w:b/>
                <w:color w:val="000000"/>
                <w:szCs w:val="24"/>
              </w:rPr>
              <w:t>)</w:t>
            </w:r>
          </w:p>
        </w:tc>
        <w:tc>
          <w:tcPr>
            <w:tcW w:w="1417" w:type="dxa"/>
            <w:tcBorders>
              <w:top w:val="single" w:sz="4" w:space="0" w:color="auto"/>
              <w:bottom w:val="single" w:sz="4" w:space="0" w:color="auto"/>
            </w:tcBorders>
            <w:vAlign w:val="center"/>
          </w:tcPr>
          <w:p w14:paraId="72FB98FE" w14:textId="71B88995" w:rsidR="003D048A" w:rsidRPr="003C1EC1" w:rsidRDefault="003D048A" w:rsidP="00AF791C">
            <w:pPr>
              <w:spacing w:before="100" w:after="100" w:line="360" w:lineRule="auto"/>
              <w:ind w:left="100" w:right="100" w:firstLine="0"/>
              <w:jc w:val="center"/>
              <w:rPr>
                <w:rFonts w:eastAsia="Times New Roman"/>
                <w:b/>
                <w:color w:val="000000"/>
                <w:szCs w:val="24"/>
              </w:rPr>
            </w:pPr>
            <w:r w:rsidRPr="00043970">
              <w:rPr>
                <w:rFonts w:eastAsia="Times New Roman"/>
                <w:b/>
                <w:color w:val="000000"/>
                <w:szCs w:val="24"/>
              </w:rPr>
              <w:t>Glucagon</w:t>
            </w:r>
            <w:r>
              <w:rPr>
                <w:rFonts w:eastAsia="Times New Roman"/>
                <w:b/>
                <w:color w:val="000000"/>
                <w:szCs w:val="24"/>
              </w:rPr>
              <w:t xml:space="preserve"> </w:t>
            </w:r>
            <w:r w:rsidRPr="003C1EC1">
              <w:rPr>
                <w:rFonts w:eastAsia="Times New Roman"/>
                <w:b/>
                <w:color w:val="000000"/>
                <w:szCs w:val="24"/>
              </w:rPr>
              <w:t>(</w:t>
            </w:r>
            <w:proofErr w:type="spellStart"/>
            <w:r w:rsidRPr="003C1EC1">
              <w:rPr>
                <w:rFonts w:eastAsia="Times New Roman"/>
                <w:b/>
                <w:color w:val="000000"/>
                <w:szCs w:val="24"/>
              </w:rPr>
              <w:t>pM</w:t>
            </w:r>
            <w:proofErr w:type="spellEnd"/>
            <w:r w:rsidRPr="003C1EC1">
              <w:rPr>
                <w:rFonts w:eastAsia="Times New Roman"/>
                <w:b/>
                <w:color w:val="000000"/>
                <w:szCs w:val="24"/>
              </w:rPr>
              <w:t>)</w:t>
            </w:r>
          </w:p>
        </w:tc>
      </w:tr>
      <w:tr w:rsidR="003D048A" w14:paraId="31F601D0" w14:textId="77777777" w:rsidTr="009629A7">
        <w:trPr>
          <w:trHeight w:val="883"/>
        </w:trPr>
        <w:tc>
          <w:tcPr>
            <w:tcW w:w="1309" w:type="dxa"/>
            <w:tcBorders>
              <w:top w:val="single" w:sz="4" w:space="0" w:color="auto"/>
              <w:bottom w:val="single" w:sz="4" w:space="0" w:color="auto"/>
            </w:tcBorders>
          </w:tcPr>
          <w:p w14:paraId="01438EFF" w14:textId="036DDAFF" w:rsidR="003D048A" w:rsidRDefault="003D048A" w:rsidP="006530AE">
            <w:pPr>
              <w:spacing w:before="100" w:after="100" w:line="360" w:lineRule="auto"/>
              <w:ind w:left="100" w:right="100" w:firstLine="0"/>
            </w:pPr>
            <w:r w:rsidRPr="003C1EC1">
              <w:rPr>
                <w:rFonts w:eastAsia="Times New Roman"/>
                <w:b/>
                <w:color w:val="000000"/>
                <w:szCs w:val="24"/>
              </w:rPr>
              <w:t>Months since recovery</w:t>
            </w:r>
          </w:p>
        </w:tc>
        <w:tc>
          <w:tcPr>
            <w:tcW w:w="1385" w:type="dxa"/>
            <w:tcBorders>
              <w:top w:val="single" w:sz="4" w:space="0" w:color="auto"/>
              <w:bottom w:val="single" w:sz="4" w:space="0" w:color="auto"/>
            </w:tcBorders>
            <w:vAlign w:val="center"/>
          </w:tcPr>
          <w:p w14:paraId="17D18D74" w14:textId="667F2152" w:rsidR="003D048A" w:rsidRDefault="00AF791C" w:rsidP="00AF791C">
            <w:pPr>
              <w:suppressAutoHyphens w:val="0"/>
              <w:spacing w:after="160" w:line="259" w:lineRule="auto"/>
              <w:ind w:firstLine="0"/>
              <w:jc w:val="center"/>
            </w:pPr>
            <w:r>
              <w:t>0.051</w:t>
            </w:r>
          </w:p>
        </w:tc>
        <w:tc>
          <w:tcPr>
            <w:tcW w:w="1202" w:type="dxa"/>
            <w:tcBorders>
              <w:top w:val="single" w:sz="4" w:space="0" w:color="auto"/>
              <w:bottom w:val="single" w:sz="4" w:space="0" w:color="auto"/>
            </w:tcBorders>
            <w:vAlign w:val="center"/>
          </w:tcPr>
          <w:p w14:paraId="5D2C5330" w14:textId="178536DB" w:rsidR="003D048A" w:rsidRDefault="00AF791C" w:rsidP="00AF791C">
            <w:pPr>
              <w:suppressAutoHyphens w:val="0"/>
              <w:spacing w:after="160" w:line="259" w:lineRule="auto"/>
              <w:ind w:firstLine="0"/>
              <w:jc w:val="center"/>
            </w:pPr>
            <w:r>
              <w:t>-0.229</w:t>
            </w:r>
          </w:p>
        </w:tc>
        <w:tc>
          <w:tcPr>
            <w:tcW w:w="1207" w:type="dxa"/>
            <w:tcBorders>
              <w:top w:val="single" w:sz="4" w:space="0" w:color="auto"/>
              <w:bottom w:val="single" w:sz="4" w:space="0" w:color="auto"/>
            </w:tcBorders>
            <w:vAlign w:val="center"/>
          </w:tcPr>
          <w:p w14:paraId="088038B0" w14:textId="4EDDB965" w:rsidR="003D048A" w:rsidRDefault="00AF791C" w:rsidP="00AF791C">
            <w:pPr>
              <w:suppressAutoHyphens w:val="0"/>
              <w:spacing w:after="160" w:line="259" w:lineRule="auto"/>
              <w:ind w:firstLine="0"/>
              <w:jc w:val="center"/>
            </w:pPr>
            <w:r>
              <w:t>0.070</w:t>
            </w:r>
          </w:p>
        </w:tc>
        <w:tc>
          <w:tcPr>
            <w:tcW w:w="1134" w:type="dxa"/>
            <w:tcBorders>
              <w:top w:val="single" w:sz="4" w:space="0" w:color="auto"/>
              <w:bottom w:val="single" w:sz="4" w:space="0" w:color="auto"/>
            </w:tcBorders>
            <w:vAlign w:val="center"/>
          </w:tcPr>
          <w:p w14:paraId="3A0B6472" w14:textId="66535E2B" w:rsidR="003D048A" w:rsidRDefault="00AF791C" w:rsidP="00AF791C">
            <w:pPr>
              <w:suppressAutoHyphens w:val="0"/>
              <w:spacing w:after="160" w:line="259" w:lineRule="auto"/>
              <w:ind w:firstLine="0"/>
              <w:jc w:val="center"/>
            </w:pPr>
            <w:r>
              <w:t>-0.018</w:t>
            </w:r>
          </w:p>
        </w:tc>
        <w:tc>
          <w:tcPr>
            <w:tcW w:w="1418" w:type="dxa"/>
            <w:tcBorders>
              <w:top w:val="single" w:sz="4" w:space="0" w:color="auto"/>
              <w:bottom w:val="single" w:sz="4" w:space="0" w:color="auto"/>
            </w:tcBorders>
            <w:vAlign w:val="center"/>
          </w:tcPr>
          <w:p w14:paraId="62193F35" w14:textId="5AB16870" w:rsidR="003D048A" w:rsidRDefault="00AF791C" w:rsidP="00AF791C">
            <w:pPr>
              <w:suppressAutoHyphens w:val="0"/>
              <w:spacing w:after="160" w:line="259" w:lineRule="auto"/>
              <w:ind w:firstLine="0"/>
              <w:jc w:val="center"/>
            </w:pPr>
            <w:r>
              <w:t>0.115</w:t>
            </w:r>
          </w:p>
        </w:tc>
        <w:tc>
          <w:tcPr>
            <w:tcW w:w="1417" w:type="dxa"/>
            <w:tcBorders>
              <w:top w:val="single" w:sz="4" w:space="0" w:color="auto"/>
              <w:bottom w:val="single" w:sz="4" w:space="0" w:color="auto"/>
            </w:tcBorders>
            <w:vAlign w:val="center"/>
          </w:tcPr>
          <w:p w14:paraId="00E7F566" w14:textId="5EBAC982" w:rsidR="003D048A" w:rsidRDefault="00AF791C" w:rsidP="00AF791C">
            <w:pPr>
              <w:suppressAutoHyphens w:val="0"/>
              <w:spacing w:after="160" w:line="259" w:lineRule="auto"/>
              <w:ind w:firstLine="0"/>
              <w:jc w:val="center"/>
            </w:pPr>
            <w:r>
              <w:t>0.067</w:t>
            </w:r>
          </w:p>
        </w:tc>
      </w:tr>
    </w:tbl>
    <w:p w14:paraId="5C6DE002" w14:textId="219849F0" w:rsidR="002B128E" w:rsidRDefault="00AF791C" w:rsidP="00AF791C">
      <w:pPr>
        <w:sectPr w:rsidR="002B128E" w:rsidSect="002358D4">
          <w:pgSz w:w="11906" w:h="16838"/>
          <w:pgMar w:top="1417" w:right="1417" w:bottom="1134" w:left="1417" w:header="708" w:footer="708" w:gutter="0"/>
          <w:cols w:space="708"/>
          <w:docGrid w:linePitch="360"/>
        </w:sectPr>
      </w:pPr>
      <w:r w:rsidRPr="00AF791C">
        <w:rPr>
          <w:i/>
        </w:rPr>
        <w:t>Note.</w:t>
      </w:r>
      <w:r>
        <w:t xml:space="preserve"> </w:t>
      </w:r>
      <w:r w:rsidR="006530AE">
        <w:t>GIP=</w:t>
      </w:r>
      <w:r w:rsidR="006530AE" w:rsidRPr="002F4589">
        <w:rPr>
          <w:szCs w:val="24"/>
        </w:rPr>
        <w:t>glucose-dependent insulinotropic polypeptide</w:t>
      </w:r>
      <w:r w:rsidR="006530AE">
        <w:rPr>
          <w:szCs w:val="24"/>
        </w:rPr>
        <w:t>; GLP-1=</w:t>
      </w:r>
      <w:r w:rsidR="006530AE" w:rsidRPr="00904B97">
        <w:rPr>
          <w:szCs w:val="24"/>
        </w:rPr>
        <w:t xml:space="preserve"> </w:t>
      </w:r>
      <w:r w:rsidR="006530AE" w:rsidRPr="002F4589">
        <w:rPr>
          <w:szCs w:val="24"/>
        </w:rPr>
        <w:t>glucagon-like peptide-</w:t>
      </w:r>
      <w:r w:rsidR="006530AE">
        <w:rPr>
          <w:szCs w:val="24"/>
        </w:rPr>
        <w:t>1</w:t>
      </w:r>
      <w:r w:rsidR="006530AE">
        <w:t xml:space="preserve">; </w:t>
      </w:r>
      <w:r w:rsidR="00A15484">
        <w:t>mmol/l=</w:t>
      </w:r>
      <w:r w:rsidR="00A15484" w:rsidRPr="00AC5FAF">
        <w:t xml:space="preserve"> </w:t>
      </w:r>
      <w:r w:rsidR="00A15484">
        <w:t xml:space="preserve">millimoles per litre; </w:t>
      </w:r>
      <w:proofErr w:type="spellStart"/>
      <w:r w:rsidR="00A15484">
        <w:t>pM</w:t>
      </w:r>
      <w:proofErr w:type="spellEnd"/>
      <w:r w:rsidR="00A15484">
        <w:t xml:space="preserve">=picomolar; </w:t>
      </w:r>
      <w:proofErr w:type="spellStart"/>
      <w:r w:rsidR="006530AE">
        <w:t>recAN</w:t>
      </w:r>
      <w:proofErr w:type="spellEnd"/>
      <w:r w:rsidR="006530AE">
        <w:t xml:space="preserve">=long-term recovered anorexia nervosa patients. </w:t>
      </w:r>
      <w:r>
        <w:t>Pearson’s r reported for the correlations between blood glucose and hormone concentrations</w:t>
      </w:r>
      <w:r w:rsidR="009629A7">
        <w:t>, and</w:t>
      </w:r>
      <w:r>
        <w:t xml:space="preserve"> months since recovery from anorexia nervosa. GIP, GLP-1, glicentin, and insulin concentrations were log₁₀-transformed prior to analysis. Asterisks indicate statistical significance (two-tailed): </w:t>
      </w:r>
      <w:r w:rsidR="00835A5F">
        <w:rPr>
          <w:i/>
        </w:rPr>
        <w:t>p</w:t>
      </w:r>
      <w:r>
        <w:t xml:space="preserve">&lt;.01 (**), </w:t>
      </w:r>
      <w:r w:rsidR="00835A5F" w:rsidRPr="002358D4">
        <w:rPr>
          <w:i/>
          <w:iCs/>
        </w:rPr>
        <w:t>p</w:t>
      </w:r>
      <w:r>
        <w:t>&lt;.05 (*).</w:t>
      </w:r>
    </w:p>
    <w:p w14:paraId="1B25C3F7" w14:textId="126F4553" w:rsidR="0063173A" w:rsidRDefault="00246EB7" w:rsidP="002358D4">
      <w:pPr>
        <w:pStyle w:val="Heading2"/>
        <w:numPr>
          <w:ilvl w:val="0"/>
          <w:numId w:val="6"/>
        </w:numPr>
      </w:pPr>
      <w:r>
        <w:lastRenderedPageBreak/>
        <w:t>Discussion</w:t>
      </w:r>
    </w:p>
    <w:p w14:paraId="414BF1BB" w14:textId="198565A8" w:rsidR="0026348F" w:rsidRDefault="00246EB7" w:rsidP="0026348F">
      <w:pPr>
        <w:pStyle w:val="Caption"/>
        <w:keepNext/>
        <w:ind w:firstLine="0"/>
      </w:pPr>
      <w:r>
        <w:rPr>
          <w:b/>
        </w:rPr>
        <w:t>Supplemental Figure</w:t>
      </w:r>
      <w:r w:rsidRPr="004063F2">
        <w:rPr>
          <w:b/>
        </w:rPr>
        <w:t xml:space="preserve"> </w:t>
      </w:r>
      <w:r>
        <w:rPr>
          <w:b/>
        </w:rPr>
        <w:t>1</w:t>
      </w:r>
      <w:r>
        <w:t>. A</w:t>
      </w:r>
      <w:proofErr w:type="spellStart"/>
      <w:r w:rsidRPr="00246EB7">
        <w:rPr>
          <w:lang w:val="en-US"/>
        </w:rPr>
        <w:t>lterations</w:t>
      </w:r>
      <w:proofErr w:type="spellEnd"/>
      <w:r w:rsidRPr="00246EB7">
        <w:rPr>
          <w:lang w:val="en-US"/>
        </w:rPr>
        <w:t xml:space="preserve"> in fasting circulating gut hormone concentrations across metabolic </w:t>
      </w:r>
      <w:r w:rsidR="00535E3B">
        <w:rPr>
          <w:lang w:val="en-US"/>
        </w:rPr>
        <w:t xml:space="preserve">and diagnostic </w:t>
      </w:r>
      <w:r w:rsidRPr="00246EB7">
        <w:rPr>
          <w:lang w:val="en-US"/>
        </w:rPr>
        <w:t>groups</w:t>
      </w:r>
      <w:r>
        <w:rPr>
          <w:lang w:val="en-US"/>
        </w:rPr>
        <w:t>.</w:t>
      </w:r>
    </w:p>
    <w:p w14:paraId="14B04D71" w14:textId="69B0DE45" w:rsidR="00246EB7" w:rsidRDefault="0026348F" w:rsidP="00246EB7">
      <w:pPr>
        <w:pStyle w:val="Caption"/>
        <w:keepNext/>
        <w:jc w:val="center"/>
      </w:pPr>
      <w:r>
        <w:rPr>
          <w:noProof/>
        </w:rPr>
        <w:drawing>
          <wp:inline distT="0" distB="0" distL="0" distR="0" wp14:anchorId="73CA22BE" wp14:editId="0EFBB73A">
            <wp:extent cx="7835900" cy="27368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50825_appglu_overview.pptx.png"/>
                    <pic:cNvPicPr/>
                  </pic:nvPicPr>
                  <pic:blipFill rotWithShape="1">
                    <a:blip r:embed="rId6">
                      <a:extLst>
                        <a:ext uri="{28A0092B-C50C-407E-A947-70E740481C1C}">
                          <a14:useLocalDpi xmlns:a14="http://schemas.microsoft.com/office/drawing/2010/main" val="0"/>
                        </a:ext>
                      </a:extLst>
                    </a:blip>
                    <a:srcRect l="6509" t="8463" r="7118" b="37903"/>
                    <a:stretch/>
                  </pic:blipFill>
                  <pic:spPr bwMode="auto">
                    <a:xfrm>
                      <a:off x="0" y="0"/>
                      <a:ext cx="7835900" cy="2736850"/>
                    </a:xfrm>
                    <a:prstGeom prst="rect">
                      <a:avLst/>
                    </a:prstGeom>
                    <a:ln>
                      <a:noFill/>
                    </a:ln>
                    <a:extLst>
                      <a:ext uri="{53640926-AAD7-44D8-BBD7-CCE9431645EC}">
                        <a14:shadowObscured xmlns:a14="http://schemas.microsoft.com/office/drawing/2010/main"/>
                      </a:ext>
                    </a:extLst>
                  </pic:spPr>
                </pic:pic>
              </a:graphicData>
            </a:graphic>
          </wp:inline>
        </w:drawing>
      </w:r>
    </w:p>
    <w:p w14:paraId="286BDFA1" w14:textId="1F4A7B48" w:rsidR="00246EB7" w:rsidRPr="00FA4D99" w:rsidRDefault="00246EB7" w:rsidP="002B128E">
      <w:r w:rsidRPr="00FA4D99">
        <w:t>Schematic representation of alterations in fasting circulating gut hormone concentrations across metabolic groups from our previous (acAN-T1</w:t>
      </w:r>
      <w:r w:rsidR="002B128E">
        <w:t>=</w:t>
      </w:r>
      <w:r w:rsidRPr="00FA4D99">
        <w:t>patients with anorexia nervosa (AN) in the acute state; acAN-T2</w:t>
      </w:r>
      <w:r w:rsidR="002B128E">
        <w:t>=</w:t>
      </w:r>
      <w:r w:rsidRPr="00FA4D99">
        <w:t>patients with AN after short-term weight restoration) and current study (</w:t>
      </w:r>
      <w:proofErr w:type="spellStart"/>
      <w:r w:rsidRPr="00FA4D99">
        <w:t>recAN</w:t>
      </w:r>
      <w:proofErr w:type="spellEnd"/>
      <w:r w:rsidR="001F6F9F" w:rsidRPr="002B128E">
        <w:rPr>
          <w:vertAlign w:val="superscript"/>
        </w:rPr>
        <w:sym w:font="Symbol" w:char="F02D"/>
      </w:r>
      <w:r w:rsidR="00CC41AF">
        <w:t>=</w:t>
      </w:r>
      <w:r w:rsidRPr="00FA4D99">
        <w:t xml:space="preserve">recovered AN without oral contraceptive (OC) use; </w:t>
      </w:r>
      <w:proofErr w:type="spellStart"/>
      <w:r w:rsidRPr="00FA4D99">
        <w:t>recAN</w:t>
      </w:r>
      <w:proofErr w:type="spellEnd"/>
      <w:r w:rsidRPr="002B128E">
        <w:rPr>
          <w:vertAlign w:val="superscript"/>
        </w:rPr>
        <w:t>+</w:t>
      </w:r>
      <w:r w:rsidR="00CC41AF">
        <w:t>=</w:t>
      </w:r>
      <w:r w:rsidRPr="00FA4D99">
        <w:t>recovered AN with OC use), as well as literature on obesity</w:t>
      </w:r>
      <w:r w:rsidR="00E53C1D">
        <w:t xml:space="preserve"> </w:t>
      </w:r>
      <w:r w:rsidR="00E53C1D">
        <w:fldChar w:fldCharType="begin"/>
      </w:r>
      <w:r w:rsidR="00EA7E5F">
        <w:instrText xml:space="preserve"> ADDIN ZOTERO_ITEM CSL_CITATION {"citationID":"iYIBvirh","properties":{"formattedCitation":"(2\\uc0\\u8211{}9)","plainCitation":"(2–9)","noteIndex":0},"citationItems":[{"id":2273,"uris":["http://zotero.org/groups/5162839/items/NU4HQUZB"],"itemData":{"id":2273,"type":"article-journal","abstract":"The effect of aging, obesity, and non-insulin-dependent diabetes mellitus on glucose-stimulated gastric inhibitory polypeptide (GIP) levels was studied in 55 male subjects, ranging in age from 19 to 84 yr, and in obesity, expressed as body mass index, from 21 to 34. Studies were performed using the hyperglycemie glucose clamp technique, in which the blood glucose was maintained at 125 mg/dl above basal for 2 h. Glucose (40 g/m2 body surface) was ingested at 60 min. Plasma immunoreactive GIP (IR-GIP) did not change during intravenous (i.v.) glucose alone, but began to rise within 10 min after glucose ingestion and reached a peak at 30–40 min. Basal and stimulated IR-GIP levels were markedly elevated in diabetic subjects and modestly elevated in obese subjects, compared with appropriately matched controls. In contrast, age had little effect on plasma IR-GIP levels either in the basal state or after glucose ingestion. When IR-GIP responses to oral glucose were expressed as a relative change from basal levels, IR-GIP rose 86% in diabetic subjects and 243% in obese subjects, compared with 185% and 165% in their respective controls. IR-GIP rose 179% in young subjects and 144% in middle-aged subjects, while, in old subjects, the increase was 265%. Plasma IRI levels were reduced in the diabetic subjects, slightly elevated in obese subjects, and were similar in older and younger subjects. Beta cell sensitivity to endogenous GIP decreases with age, and is unchanged in both obesity and nonmedicated diabetes.","container-title":"Diabetes","DOI":"10.2337/diab.33.10.950","ISSN":"0012-1797, 1939-327X","issue":"10","language":"en","page":"950-957","source":"DOI.org (Crossref)","title":"The Enteric Enhancement of Glucose-stimulated Insulin Release: The Role of GIP in Aging, Obesity, and Non-insulin-dependent Diabetes Mellitus","title-short":"The Enteric Enhancement of Glucose-stimulated Insulin Release","volume":"33","author":[{"family":"Elahi","given":"Dariush"},{"family":"Andersen","given":"Dana K"},{"family":"Muller","given":"Denis C"},{"family":"Tobin","given":"Jordan D"},{"family":"Brown","given":"John C"},{"family":"Andres","given":"Reubin"}],"issued":{"date-parts":[["1984",10,1]]}}},{"id":2280,"uris":["http://zotero.org/groups/5162839/items/9WEAVAW5"],"itemData":{"id":2280,"type":"article-journal","container-title":"The American Journal of Clinical Nutrition","DOI":"10.3945/ajcn.2008.26362","ISSN":"00029165","issue":"1","journalAbbreviation":"The American Journal of Clinical Nutrition","language":"en","page":"106-113","source":"DOI.org (Crossref)","title":"Oral glutamine increases circulating glucagon-like peptide 1, glucagon, and insulin concentrations in lean, obese, and type 2 diabetic subjects","volume":"89","author":[{"family":"Greenfield","given":"Jerry R"},{"family":"Farooqi","given":"I Sadaf"},{"family":"Keogh","given":"Julia M"},{"family":"Henning","given":"Elana"},{"family":"Habib","given":"Abdella M"},{"family":"Blackwood","given":"Anthea"},{"family":"Reimann","given":"Frank"},{"family":"Holst","given":"Jens J"},{"family":"Gribble","given":"Fiona M"}],"issued":{"date-parts":[["2009",1]]}}},{"id":2271,"uris":["http://zotero.org/groups/5162839/items/7IDVXLKC"],"itemData":{"id":2271,"type":"article-journal","container-title":"Pediatric Research","DOI":"10.1203/00006450-200005000-00012","ISSN":"0031-3998, 1530-0447","issue":"5","journalAbbreviation":"Pediatr Res","page":"628-633","source":"DOI.org (Crossref)","title":"Augmentation of Alimentary Insulin Secretion despite Similar Gastric Inhibitory Peptide (GIP) Responses in Juvenile Obesity","volume":"47","author":[{"family":"Heptulla","given":"Rubina A"},{"family":"Tamborlane","given":"William V"},{"family":"Cavaghan","given":"Melissa"},{"family":"Bronson","given":"Mary"},{"family":"Limb","given":"Charles"},{"family":"Yong-Zhan","given":"M A"},{"family":"Sherwin","given":"Robert S"},{"family":"Caprio","given":"Sonia"}],"issued":{"date-parts":[["2000",5]]}}},{"id":2283,"uris":["http://zotero.org/groups/5162839/items/ELH7C9CF"],"itemData":{"id":2283,"type":"article-journal","container-title":"Hormone and Metabolic Research","DOI":"10.1055/s-2004-814222","ISSN":"0018-5043, 1439-4286","issue":"2","journalAbbreviation":"Horm Metab Res","language":"en","page":"111-115","source":"DOI.org (Crossref)","title":"Glucagon-like Peptide 1 (GLP-1) Secretion and Plasma Dipeptidyl Peptidase IV (DPP-IV) Activity in Morbidly Obese Patients Undergoing Biliopancreatic Diversion","volume":"36","author":[{"family":"Lugari","given":"R"},{"family":"Dei Cas","given":"A"},{"family":"Ugolotti","given":"D"},{"family":"Camellini","given":"C"},{"family":"Ganzerla","given":"A"},{"family":"Luciani","given":"A"},{"family":"Salerni","given":"B"},{"family":"Mittenperger","given":"F"},{"family":"Nodari","given":"S"},{"family":"Gnudi","given":"A"},{"family":"Zandomeneghi","given":"R"}],"issued":{"date-parts":[["2004",2]]}}},{"id":20,"uris":["http://zotero.org/groups/5162839/items/FBYXU82B"],"itemData":{"id":20,"type":"article-journal","abstract":"Abstract\n            \n              Context:\n              Proglucagon-derived hormones are important for glucose metabolism, but little is known about them in pediatric obesity and type 2 diabetes mellitus (T2DM).\n            \n            \n              Objective:\n              Fasting and postprandial levels of proglucagon-derived peptides glucagon, GLP-1, and glicentin in adolescents with obesity across the glucose tolerance spectrum were investigated.\n            \n            \n              Design:\n              This was a cross-sectional study with plasma hormone levels quantified at fasting and during an oral glucose tolerance test (OGTT).\n            \n            \n              Setting:\n              This study took place in a pediatric obesity clinic at Uppsala University Hospital, Sweden.\n            \n            \n              Patients and Participants:\n              Adolescents with obesity, age 10–18 years, with normal glucose tolerance (NGT, n = 23), impaired glucose tolerance (IGT, n = 19), or T2DM (n = 4) and age-matched lean adolescents (n = 19) were included.\n            \n            \n              Main Outcome Measures:\n              Outcome measures were fasting and OGTT plasma levels of insulin, glucagon, active GLP-1, and glicentin.\n            \n            \n              Results:\n              Adolescents with obesity and IGT had lower fasting GLP-1 and glicentin levels than those with NGT (0.25 vs 0.53 pM, P &amp;lt; .05; 18.2 vs 23.6 pM, P &amp;lt; .01) and adolescents with obesity and T2DM had higher fasting glucagon levels (18.1 vs 10.1 pM, P &amp;lt; .01) than those with NGT. During OGTT, glicentin/glucagon ratios were lower in adolescents with obesity and NGT than in lean adolescents (P &amp;lt; .01) and even lower in IGT (P &amp;lt; .05) and T2DM (P &amp;lt; .001).\n            \n            \n              Conclusions:\n              Obese adolescents with IGT have lowered fasting GLP-1 and glicentin levels. In T2DM, fasting glucagon levels are elevated, whereas GLP-1 and glicentin levels are maintained low. During OGTT, adolescents with obesity have more products of pancreatically than intestinally cleaved proglucagon (ie, more glucagon and less GLP-1) in the plasma. This shift becomes more pronounced when glucose tolerance deteriorates.","container-title":"The Journal of Clinical Endocrinology &amp; Metabolism","DOI":"10.1210/jc.2015-3885","ISSN":"0021-972X, 1945-7197","issue":"3","language":"en","page":"1181-1189","source":"DOI.org (Crossref)","title":"Altered Plasma Levels of Glucagon, GLP-1 and Glicentin During OGTT in Adolescents With Obesity and Type 2 Diabetes","volume":"101","author":[{"family":"Manell","given":"Hannes"},{"family":"Staaf","given":"Johan"},{"family":"Manukyan","given":"Levon"},{"family":"Kristinsson","given":"Hjalti"},{"family":"Cen","given":"Jing"},{"family":"Stenlid","given":"Rasmus"},{"family":"Ciba","given":"Iris"},{"family":"Forslund","given":"Anders"},{"family":"Bergsten","given":"Peter"}],"issued":{"date-parts":[["2016",3,1]]}}},{"id":787,"uris":["http://zotero.org/groups/5162839/items/RFMKPGME"],"itemData":{"id":787,"type":"article-journal","abstract":"Background\n              Proglucagon-derived hormones represent a family of peptides mainly produced in the pancreas and the intestine. While several proglucagon-derived peptides play key roles in metabolic diseases, little is known about glicentin. The aim of the present study was to investigate serum glicentin concentrations in individuals with adult obesity and to study its potential link with various metabolic parameters.\n            \n            \n              Methods\n              \n                Fifty-two individuals with normal body mass index (BMI &lt; 25 kg/m\n                2\n                ) and 39 patients with severe or morbid obesity (BMI &gt; 35 kg/m\n                2\n                ) were prospectively included at the University Hospital of Nice between January 2014 and April 2016. Clinical data were recorded, and a fasting blood sample was collected to measure glicentin, glucose, insulin, C-peptide, total cholesterol, triglyceride, LDL and HDL-cholesterol. In addition, a homeostasis model assessment for insulin resistance (HOMA2-IR) was also calculated.\n              \n            \n            \n              Results\n              Patients with severe and morbid obesity had significantly higher plasma glucose, together with higher serum concentrations of insulin, C-peptide, HOMA2-IR, triglyceride, LDL-cholesterol and lower serum concentrations of HDL-cholesterol compared with individuals with a normal body mass index. The obese patients displayed significantly lower fasting serum concentrations of glicentin compared with subjects with a normal body mass index (12 pmol/L vs. 24 pmol/L, P &lt; 0.0001). In the total population, fasting glicentin concentrations did not correlate with BMI, glycaemic parameters (glucose, insulin, C-peptide, HOMA-IR) or lipid parameters (total cholesterol, triglyceride, LDL and HDL-cholesterol).\n            \n            \n              Conclusion\n              To the best of our knowledge, this is the first study reporting serum glicentin concentrations in healthy lean and obese adult subjects. We found that fasting serum glicentin concentrations are decreased in patients with severe or morbid obesity suggesting the potential interest of this peptide in obesity and metabolic-related disorders.","container-title":"Annals of Clinical Biochemistry: International Journal of Laboratory Medicine","DOI":"10.1177/0004563217700172","ISSN":"0004-5632, 1758-1001","issue":"2","journalAbbreviation":"Ann Clin Biochem","language":"en","page":"198-204","source":"DOI.org (Crossref)","title":"Decreased serum glicentin concentration in patients with severe and morbid obesity","volume":"55","author":[{"family":"Raffort","given":"Juliette"},{"family":"Panaïa-Ferrari","given":"Patricia"},{"family":"Lareyre","given":"Fabien"},{"family":"Blois","given":"Mathilde"},{"family":"Bayer","given":"Pascale"},{"family":"Staccini","given":"Pascal"},{"family":"Fénichel","given":"Patrick"},{"family":"Chinetti","given":"Giulia"}],"issued":{"date-parts":[["2018",3]]}}},{"id":2282,"uris":["http://zotero.org/groups/5162839/items/L2UW5P7X"],"itemData":{"id":2282,"type":"article-journal","abstract":"Hyperglucagonemia, a hallmark in obesity and insulin resistance promotes hepatic glucose output, exacerbating hyperglycemia and thus predisposing to the development type 2 diabetes. As such, glucagon signaling is a key target for new therapeutics to manage insulin resistance. We evaluated glucagon homeostasis in lean and obese mice and people. In lean mice, fasting for 24 h caused a rise in glucagon. In contrast, a decrease in serum glucagon compared to baseline was observed in diet-induced obese mice between 8 and 24 h of fasting. Fasting decreased serum insulin in both lean and obese mice. Accordingly, the glucagon:insulin ratio was unaffected by fasting in obese mice but increased in lean mice. Re-feeding (2 h) restored hyperglucagonemia in obese mice. Pancreatic perfusion studies confirm that fasting (16 h) decreases pancreatic glucagon secretion in obese mice. Consistent with our findings in the mouse, a mixed meal increased serum glucagon and insulin concentrations in obese humans, both of which decreased with time after a meal. Consequently, fasting and re-feeding less robustly affected glucagon:insulin ratios in obese compared to lean participants. The glucoregulatory disturbance in obesity may be driven by inappropriate regulation of glucagon by fasting and a static glucagon:insulin ratio.","container-title":"Journal of Endocrinology","DOI":"10.1530/JOE-19-0201","ISSN":"0022-0795, 1479-6805","issue":"2","page":"149-160","source":"DOI.org (Crossref)","title":"Obesity dysregulates fasting-induced changes in glucagon secretion","volume":"243","author":[{"family":"Stern","given":"Jennifer H"},{"family":"Smith","given":"Gordon I"},{"family":"Chen","given":"Shiuwei"},{"family":"Unger","given":"Roger H"},{"family":"Klein","given":"Samuel"},{"family":"Scherer","given":"Philipp E"}],"issued":{"date-parts":[["2019",11]]}}},{"id":2276,"uris":["http://zotero.org/groups/5162839/items/2I4QTQSL"],"itemData":{"id":2276,"type":"article-journal","abstract":"Abstract\n            \n              Context\n              The importance of fasting glucagon-like peptide-1 (GLP-1) in altered metabolic outcomes has been questioned.\n            \n            \n              Objective\n              This work aimed to assess whether fasting GLP-1 differs in children and adolescents with overweight/obesity compared to a population-based reference, and whether concentrations predict cardiometabolic risk (CMR) factors.\n            \n            \n              Methods\n              Analyses were based on The Danish Childhood Obesity Data- and Biobank, a cross-sectional study including children and adolescents, aged 6 to 19 years, from an obesity clinic group (n = 1978) and from a population-based group (n = 2334). Fasting concentrations of plasma total GLP-1 and quantitative CMR factors were assessed. The effects of GLP-1 as a predictor of CMR risk outcomes were examined by multiple linear and logistic regression modeling.\n            \n            \n              Results\n              The obesity clinic group had higher fasting GLP-1 concentrations (median 3.3 pmol/L; interquartile range, 2.3-4.3 pmol/L) than the population-based group (2.8 pmol/L; interquartile range, 2.1-3.8 pmol/L; P &amp;lt; 2.2E-16). Body mass index SD score (SDS), waist circumference, and total body fat percentage were significant predictors of fasting GLP-1 concentrations in boys and girls. Fasting GLP-1 concentrations were positively associated with homeostasis model assessment of insulin resistance, fasting values of insulin, high-sensitivity C-reactive protein, C-peptide, triglycerides, alanine transaminase (ALT), glycated hemoglobin A1c, and SDS of diastolic and systolic blood pressure. A 1-SD increase in fasting GLP-1 was associated with an increased risk of insulin resistance (odds ratio [OR] 1.59), dyslipidemia (OR 1.16), increased ALT (OR 1.14), hyperglycemia (OR 1.12) and hypertension (OR 1.12).\n            \n            \n              Conclusion\n              Overweight/obesity in children and adolescents is associated with increased fasting plasma total GLP-1 concentrations, which was predictive of higher CMR factors.","container-title":"The Journal of Clinical Endocrinology &amp; Metabolism","DOI":"10.1210/clinem/dgab098","ISSN":"0021-972X, 1945-7197","issue":"6","language":"en","license":"http://creativecommons.org/licenses/by-nc-nd/4.0/","page":"1718-1727","source":"DOI.org (Crossref)","title":"Fasting Plasma GLP-1 Is Associated With Overweight/Obesity and Cardiometabolic Risk Factors in Children and Adolescents","volume":"106","author":[{"family":"Stinson","given":"Sara E"},{"family":"Jonsson","given":"Anna E"},{"family":"Lund","given":"Morten A V"},{"family":"Frithioff-Bøjsøe","given":"Christine"},{"family":"Aas Holm","given":"Louise"},{"family":"Pedersen","given":"Oluf"},{"family":"Ängquist","given":"Lars"},{"family":"Sørensen","given":"Thorkild I A"},{"family":"Holst","given":"Jens J"},{"family":"Christiansen","given":"Michael"},{"family":"Holm","given":"Jens-Christian"},{"family":"Hartmann","given":"Bolette"},{"family":"Hansen","given":"Torben"}],"issued":{"date-parts":[["2021",5,13]]}}}],"schema":"https://github.com/citation-style-language/schema/raw/master/csl-citation.json"} </w:instrText>
      </w:r>
      <w:r w:rsidR="00E53C1D">
        <w:fldChar w:fldCharType="separate"/>
      </w:r>
      <w:r w:rsidR="00EA7E5F" w:rsidRPr="00EA7E5F">
        <w:rPr>
          <w:szCs w:val="24"/>
        </w:rPr>
        <w:t>(2–9)</w:t>
      </w:r>
      <w:r w:rsidR="00E53C1D">
        <w:fldChar w:fldCharType="end"/>
      </w:r>
      <w:r w:rsidRPr="00FA4D99">
        <w:t xml:space="preserve">. Differences are illustrated using </w:t>
      </w:r>
      <w:r w:rsidR="002B128E" w:rsidRPr="00FA4D99">
        <w:t>coloured</w:t>
      </w:r>
      <w:r w:rsidRPr="00FA4D99">
        <w:t xml:space="preserve"> equals signs and directional arrows, with arrow orientation (upward or downward) indicating increased or decreased concentrations relative to the specified comparator group. </w:t>
      </w:r>
      <w:r w:rsidR="00175586" w:rsidRPr="00FA4D99">
        <w:t>Colour</w:t>
      </w:r>
      <w:r w:rsidRPr="00FA4D99">
        <w:t xml:space="preserve"> coding denotes the reference group for comparison: green=healthy controls (HC), </w:t>
      </w:r>
      <w:r w:rsidRPr="00FA4D99">
        <w:lastRenderedPageBreak/>
        <w:t>orange=acAN-T1, light green=HC without OC, dark green=HC with OC, and yellow=comparisons with HC reported in the literature.</w:t>
      </w:r>
      <w:r w:rsidR="00B60392">
        <w:t xml:space="preserve"> </w:t>
      </w:r>
      <w:r w:rsidR="00B60392">
        <w:softHyphen/>
        <w:t>GIP=</w:t>
      </w:r>
      <w:r w:rsidR="00B60392" w:rsidRPr="002F4589">
        <w:rPr>
          <w:szCs w:val="24"/>
        </w:rPr>
        <w:t>glucose-dependent insulinotropic polypeptide</w:t>
      </w:r>
      <w:r w:rsidR="00B60392">
        <w:rPr>
          <w:szCs w:val="24"/>
        </w:rPr>
        <w:t>; GLP-1=</w:t>
      </w:r>
      <w:r w:rsidR="00B60392" w:rsidRPr="00904B97">
        <w:rPr>
          <w:szCs w:val="24"/>
        </w:rPr>
        <w:t xml:space="preserve"> </w:t>
      </w:r>
      <w:r w:rsidR="00B60392" w:rsidRPr="002F4589">
        <w:rPr>
          <w:szCs w:val="24"/>
        </w:rPr>
        <w:t>glucagon-like peptide-</w:t>
      </w:r>
      <w:r w:rsidR="00B60392">
        <w:rPr>
          <w:szCs w:val="24"/>
        </w:rPr>
        <w:t>1</w:t>
      </w:r>
      <w:r w:rsidR="00B60392">
        <w:t>.</w:t>
      </w:r>
    </w:p>
    <w:p w14:paraId="073E047A" w14:textId="77777777" w:rsidR="00AD0DF7" w:rsidRDefault="00AD0DF7" w:rsidP="00AD0DF7">
      <w:pPr>
        <w:pStyle w:val="Caption"/>
        <w:rPr>
          <w:lang w:val="en-US"/>
        </w:rPr>
        <w:sectPr w:rsidR="00AD0DF7" w:rsidSect="002B128E">
          <w:pgSz w:w="16838" w:h="11906" w:orient="landscape"/>
          <w:pgMar w:top="1417" w:right="1417" w:bottom="1417" w:left="1134" w:header="708" w:footer="708" w:gutter="0"/>
          <w:cols w:space="708"/>
          <w:docGrid w:linePitch="360"/>
        </w:sectPr>
      </w:pPr>
    </w:p>
    <w:p w14:paraId="5A736D4D" w14:textId="354C26D5" w:rsidR="00246EB7" w:rsidRDefault="00AD0DF7" w:rsidP="002E6D44">
      <w:pPr>
        <w:pStyle w:val="Heading2"/>
        <w:numPr>
          <w:ilvl w:val="0"/>
          <w:numId w:val="6"/>
        </w:numPr>
      </w:pPr>
      <w:r>
        <w:lastRenderedPageBreak/>
        <w:t>References</w:t>
      </w:r>
    </w:p>
    <w:p w14:paraId="5F3DEDCD" w14:textId="77777777" w:rsidR="00EA7E5F" w:rsidRPr="00EA7E5F" w:rsidRDefault="00EA7E5F" w:rsidP="00EA7E5F">
      <w:pPr>
        <w:pStyle w:val="Bibliography"/>
      </w:pPr>
      <w:r>
        <w:rPr>
          <w:lang w:val="en-US"/>
        </w:rPr>
        <w:fldChar w:fldCharType="begin"/>
      </w:r>
      <w:r>
        <w:rPr>
          <w:lang w:val="en-US"/>
        </w:rPr>
        <w:instrText xml:space="preserve"> ADDIN ZOTERO_BIBL {"uncited":[],"omitted":[],"custom":[]} CSL_BIBLIOGRAPHY </w:instrText>
      </w:r>
      <w:r>
        <w:rPr>
          <w:lang w:val="en-US"/>
        </w:rPr>
        <w:fldChar w:fldCharType="separate"/>
      </w:r>
      <w:r w:rsidRPr="00EA7E5F">
        <w:t>1.</w:t>
      </w:r>
      <w:r w:rsidRPr="00EA7E5F">
        <w:tab/>
        <w:t xml:space="preserve">Benjamini Y, Hochberg Y. Controlling the False Discovery Rate: A Practical and Powerful Approach to Multiple Testing. Journal of the Royal Statistical Society: Series B (Methodological). Januar 1995;57(1):289–300. </w:t>
      </w:r>
    </w:p>
    <w:p w14:paraId="65D8C755" w14:textId="77777777" w:rsidR="00EA7E5F" w:rsidRPr="00EA7E5F" w:rsidRDefault="00EA7E5F" w:rsidP="00EA7E5F">
      <w:pPr>
        <w:pStyle w:val="Bibliography"/>
      </w:pPr>
      <w:r w:rsidRPr="00EA7E5F">
        <w:t>2.</w:t>
      </w:r>
      <w:r w:rsidRPr="00EA7E5F">
        <w:tab/>
        <w:t xml:space="preserve">Elahi D, Andersen DK, Muller DC, Tobin JD, Brown JC, Andres R. The Enteric Enhancement of Glucose-stimulated Insulin Release: The Role of GIP in Aging, Obesity, and Non-insulin-dependent Diabetes Mellitus. Diabetes. 1. Oktober 1984;33(10):950–7. </w:t>
      </w:r>
    </w:p>
    <w:p w14:paraId="4863FD5E" w14:textId="77777777" w:rsidR="00EA7E5F" w:rsidRPr="00EA7E5F" w:rsidRDefault="00EA7E5F" w:rsidP="00EA7E5F">
      <w:pPr>
        <w:pStyle w:val="Bibliography"/>
      </w:pPr>
      <w:r w:rsidRPr="00EA7E5F">
        <w:t>3.</w:t>
      </w:r>
      <w:r w:rsidRPr="00EA7E5F">
        <w:tab/>
        <w:t xml:space="preserve">Greenfield JR, Farooqi IS, Keogh JM, Henning E, Habib AM, Blackwood A, u. a. Oral glutamine increases circulating glucagon-like peptide 1, glucagon, and insulin concentrations in lean, obese, and type 2 diabetic subjects. The American Journal of Clinical Nutrition. Januar 2009;89(1):106–13. </w:t>
      </w:r>
    </w:p>
    <w:p w14:paraId="3EFBD1CB" w14:textId="77777777" w:rsidR="00EA7E5F" w:rsidRPr="00EA7E5F" w:rsidRDefault="00EA7E5F" w:rsidP="00EA7E5F">
      <w:pPr>
        <w:pStyle w:val="Bibliography"/>
      </w:pPr>
      <w:r w:rsidRPr="00EA7E5F">
        <w:t>4.</w:t>
      </w:r>
      <w:r w:rsidRPr="00EA7E5F">
        <w:tab/>
        <w:t xml:space="preserve">Heptulla RA, Tamborlane WV, Cavaghan M, Bronson M, Limb C, Yong-Zhan MA, u. a. Augmentation of Alimentary Insulin Secretion despite Similar Gastric Inhibitory Peptide (GIP) Responses in Juvenile Obesity. Pediatr Res. Mai 2000;47(5):628–33. </w:t>
      </w:r>
    </w:p>
    <w:p w14:paraId="5DAC3FFF" w14:textId="77777777" w:rsidR="00EA7E5F" w:rsidRPr="00EA7E5F" w:rsidRDefault="00EA7E5F" w:rsidP="00EA7E5F">
      <w:pPr>
        <w:pStyle w:val="Bibliography"/>
      </w:pPr>
      <w:r w:rsidRPr="00EA7E5F">
        <w:t>5.</w:t>
      </w:r>
      <w:r w:rsidRPr="00EA7E5F">
        <w:tab/>
        <w:t xml:space="preserve">Lugari R, Dei Cas A, Ugolotti D, Camellini C, Ganzerla A, Luciani A, u. a. Glucagon-like Peptide 1 (GLP-1) Secretion and Plasma Dipeptidyl Peptidase IV (DPP-IV) Activity in Morbidly Obese Patients Undergoing Biliopancreatic Diversion. Horm Metab Res. Februar 2004;36(2):111–5. </w:t>
      </w:r>
    </w:p>
    <w:p w14:paraId="341FFF04" w14:textId="77777777" w:rsidR="00EA7E5F" w:rsidRPr="00EA7E5F" w:rsidRDefault="00EA7E5F" w:rsidP="00EA7E5F">
      <w:pPr>
        <w:pStyle w:val="Bibliography"/>
      </w:pPr>
      <w:r w:rsidRPr="00EA7E5F">
        <w:t>6.</w:t>
      </w:r>
      <w:r w:rsidRPr="00EA7E5F">
        <w:tab/>
        <w:t xml:space="preserve">Manell H, Staaf J, Manukyan L, Kristinsson H, Cen J, Stenlid R, u. a. Altered Plasma Levels of Glucagon, GLP-1 and Glicentin During OGTT in Adolescents With Obesity and Type 2 Diabetes. The Journal of Clinical Endocrinology &amp; Metabolism. 1. März 2016;101(3):1181–9. </w:t>
      </w:r>
    </w:p>
    <w:p w14:paraId="4A870D13" w14:textId="77777777" w:rsidR="00EA7E5F" w:rsidRPr="00EA7E5F" w:rsidRDefault="00EA7E5F" w:rsidP="00EA7E5F">
      <w:pPr>
        <w:pStyle w:val="Bibliography"/>
        <w:rPr>
          <w:lang w:val="de-DE"/>
        </w:rPr>
      </w:pPr>
      <w:r w:rsidRPr="00EA7E5F">
        <w:t>7.</w:t>
      </w:r>
      <w:r w:rsidRPr="00EA7E5F">
        <w:tab/>
        <w:t xml:space="preserve">Raffort J, Panaïa-Ferrari P, Lareyre F, Blois M, Bayer P, Staccini P, u. a. Decreased serum glicentin concentration in patients with severe and morbid obesity. </w:t>
      </w:r>
      <w:r w:rsidRPr="00EA7E5F">
        <w:rPr>
          <w:lang w:val="de-DE"/>
        </w:rPr>
        <w:t xml:space="preserve">Ann Clin Biochem. März 2018;55(2):198–204. </w:t>
      </w:r>
    </w:p>
    <w:p w14:paraId="3A0D7CD3" w14:textId="77777777" w:rsidR="00EA7E5F" w:rsidRPr="00EA7E5F" w:rsidRDefault="00EA7E5F" w:rsidP="00EA7E5F">
      <w:pPr>
        <w:pStyle w:val="Bibliography"/>
      </w:pPr>
      <w:r w:rsidRPr="00EA7E5F">
        <w:rPr>
          <w:lang w:val="de-DE"/>
        </w:rPr>
        <w:t>8.</w:t>
      </w:r>
      <w:r w:rsidRPr="00EA7E5F">
        <w:rPr>
          <w:lang w:val="de-DE"/>
        </w:rPr>
        <w:tab/>
        <w:t xml:space="preserve">Stern JH, Smith GI, Chen S, Unger RH, Klein S, Scherer PE. </w:t>
      </w:r>
      <w:r w:rsidRPr="00EA7E5F">
        <w:t xml:space="preserve">Obesity dysregulates fasting-induced changes in glucagon secretion. Journal of Endocrinology. November 2019;243(2):149–60. </w:t>
      </w:r>
    </w:p>
    <w:p w14:paraId="327A8C36" w14:textId="77777777" w:rsidR="00EA7E5F" w:rsidRPr="00EA7E5F" w:rsidRDefault="00EA7E5F" w:rsidP="00EA7E5F">
      <w:pPr>
        <w:pStyle w:val="Bibliography"/>
      </w:pPr>
      <w:r w:rsidRPr="00EA7E5F">
        <w:t>9.</w:t>
      </w:r>
      <w:r w:rsidRPr="00EA7E5F">
        <w:tab/>
        <w:t xml:space="preserve">Stinson SE, Jonsson AE, Lund MAV, Frithioff-Bøjsøe C, Aas Holm L, Pedersen O, u. a. Fasting Plasma GLP-1 Is Associated With Overweight/Obesity and Cardiometabolic Risk Factors in Children and Adolescents. The Journal of Clinical Endocrinology &amp; Metabolism. 13. Mai 2021;106(6):1718–27. </w:t>
      </w:r>
    </w:p>
    <w:p w14:paraId="457A7984" w14:textId="2261BA20" w:rsidR="00EA7E5F" w:rsidRPr="00EA7E5F" w:rsidRDefault="00EA7E5F" w:rsidP="00EA7E5F">
      <w:pPr>
        <w:rPr>
          <w:lang w:val="en-US"/>
        </w:rPr>
      </w:pPr>
      <w:r>
        <w:rPr>
          <w:lang w:val="en-US"/>
        </w:rPr>
        <w:fldChar w:fldCharType="end"/>
      </w:r>
    </w:p>
    <w:sectPr w:rsidR="00EA7E5F" w:rsidRPr="00EA7E5F" w:rsidSect="00AD0DF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ohit Devanagar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Noto Sans CJK SC">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B59EA"/>
    <w:multiLevelType w:val="multilevel"/>
    <w:tmpl w:val="65BC5448"/>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 w15:restartNumberingAfterBreak="0">
    <w:nsid w:val="363C5519"/>
    <w:multiLevelType w:val="hybridMultilevel"/>
    <w:tmpl w:val="93ACD956"/>
    <w:lvl w:ilvl="0" w:tplc="3F76E1CA">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6797533"/>
    <w:multiLevelType w:val="multilevel"/>
    <w:tmpl w:val="1E421EC0"/>
    <w:lvl w:ilvl="0">
      <w:start w:val="1"/>
      <w:numFmt w:val="decimal"/>
      <w:lvlText w:val="%1."/>
      <w:lvlJc w:val="left"/>
      <w:pPr>
        <w:ind w:left="360" w:hanging="360"/>
      </w:pPr>
      <w:rPr>
        <w:rFonts w:hint="default"/>
      </w:rPr>
    </w:lvl>
    <w:lvl w:ilvl="1">
      <w:start w:val="1"/>
      <w:numFmt w:val="decimal"/>
      <w:pStyle w:val="Heading3"/>
      <w:lvlText w:val="%1.%2."/>
      <w:lvlJc w:val="left"/>
      <w:pPr>
        <w:ind w:left="644" w:hanging="360"/>
      </w:pPr>
      <w:rPr>
        <w:rFonts w:hint="default"/>
        <w:b w:val="0"/>
        <w:i/>
      </w:rPr>
    </w:lvl>
    <w:lvl w:ilvl="2">
      <w:start w:val="1"/>
      <w:numFmt w:val="decimal"/>
      <w:lvlText w:val="%1.%2.%3."/>
      <w:lvlJc w:val="left"/>
      <w:pPr>
        <w:ind w:left="1288" w:hanging="720"/>
      </w:pPr>
      <w:rPr>
        <w:rFonts w:hint="default"/>
        <w:i/>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4CDC4BA3"/>
    <w:multiLevelType w:val="hybridMultilevel"/>
    <w:tmpl w:val="CE10B1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065920"/>
    <w:multiLevelType w:val="multilevel"/>
    <w:tmpl w:val="A6546FC0"/>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350"/>
        </w:tabs>
        <w:ind w:left="1142" w:hanging="432"/>
      </w:pPr>
      <w:rPr>
        <w:rFonts w:cs="Times New Roman" w:hint="default"/>
        <w:b w:val="0"/>
        <w:bCs w:val="0"/>
        <w:i/>
        <w:iCs w:val="0"/>
        <w:caps w:val="0"/>
        <w:smallCaps w:val="0"/>
        <w:strike w:val="0"/>
        <w:dstrike w:val="0"/>
        <w:outline w:val="0"/>
        <w:shadow w:val="0"/>
        <w:emboss w:val="0"/>
        <w:imprint w:val="0"/>
        <w:vanish w:val="0"/>
        <w:spacing w:val="0"/>
        <w:kern w:val="0"/>
        <w:position w:val="0"/>
        <w:sz w:val="22"/>
        <w:u w:val="none"/>
        <w:effect w:val="none"/>
        <w:vertAlign w:val="baseline"/>
        <w:em w:val="none"/>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 w15:restartNumberingAfterBreak="0">
    <w:nsid w:val="7C6C1461"/>
    <w:multiLevelType w:val="hybridMultilevel"/>
    <w:tmpl w:val="4B322D36"/>
    <w:lvl w:ilvl="0" w:tplc="5AF86FB0">
      <w:start w:val="1"/>
      <w:numFmt w:val="decimal"/>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 w15:restartNumberingAfterBreak="0">
    <w:nsid w:val="7E8B64E0"/>
    <w:multiLevelType w:val="hybridMultilevel"/>
    <w:tmpl w:val="40BCEE9C"/>
    <w:lvl w:ilvl="0" w:tplc="88BC24C6">
      <w:start w:val="2"/>
      <w:numFmt w:val="bullet"/>
      <w:lvlText w:val="-"/>
      <w:lvlJc w:val="left"/>
      <w:pPr>
        <w:ind w:left="644" w:hanging="360"/>
      </w:pPr>
      <w:rPr>
        <w:rFonts w:ascii="Calibri" w:eastAsiaTheme="minorHAnsi" w:hAnsi="Calibri" w:cs="Calibr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6"/>
  </w:num>
  <w:num w:numId="2">
    <w:abstractNumId w:val="5"/>
  </w:num>
  <w:num w:numId="3">
    <w:abstractNumId w:val="3"/>
  </w:num>
  <w:num w:numId="4">
    <w:abstractNumId w:val="1"/>
  </w:num>
  <w:num w:numId="5">
    <w:abstractNumId w:val="0"/>
  </w:num>
  <w:num w:numId="6">
    <w:abstractNumId w:val="2"/>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2"/>
    </w:lvlOverride>
    <w:lvlOverride w:ilvl="1">
      <w:startOverride w:val="2"/>
    </w:lvlOverride>
  </w:num>
  <w:num w:numId="10">
    <w:abstractNumId w:val="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
  </w:num>
  <w:num w:numId="14">
    <w:abstractNumId w:val="4"/>
  </w:num>
  <w:num w:numId="15">
    <w:abstractNumId w:val="2"/>
  </w:num>
  <w:num w:numId="16">
    <w:abstractNumId w:val="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6472567-99A3-4927-ADF9-F53B51BBEEF7}"/>
    <w:docVar w:name="dgnword-eventsink" w:val="1270877119488"/>
  </w:docVars>
  <w:rsids>
    <w:rsidRoot w:val="00542E25"/>
    <w:rsid w:val="000449D6"/>
    <w:rsid w:val="00053C2C"/>
    <w:rsid w:val="0006273C"/>
    <w:rsid w:val="0008378D"/>
    <w:rsid w:val="00087E9E"/>
    <w:rsid w:val="000964D2"/>
    <w:rsid w:val="000A40D2"/>
    <w:rsid w:val="000A57D9"/>
    <w:rsid w:val="000A7166"/>
    <w:rsid w:val="000B284D"/>
    <w:rsid w:val="000C15BD"/>
    <w:rsid w:val="000C71B6"/>
    <w:rsid w:val="000D1980"/>
    <w:rsid w:val="000D54D6"/>
    <w:rsid w:val="000E7356"/>
    <w:rsid w:val="00104624"/>
    <w:rsid w:val="001120A6"/>
    <w:rsid w:val="001238DF"/>
    <w:rsid w:val="00127CE7"/>
    <w:rsid w:val="00130076"/>
    <w:rsid w:val="001552D4"/>
    <w:rsid w:val="00175586"/>
    <w:rsid w:val="001A5608"/>
    <w:rsid w:val="001B02E1"/>
    <w:rsid w:val="001B2F88"/>
    <w:rsid w:val="001D2937"/>
    <w:rsid w:val="001F0B63"/>
    <w:rsid w:val="001F1260"/>
    <w:rsid w:val="001F6195"/>
    <w:rsid w:val="001F6F9F"/>
    <w:rsid w:val="00204D71"/>
    <w:rsid w:val="00223D36"/>
    <w:rsid w:val="002358D4"/>
    <w:rsid w:val="00244FF1"/>
    <w:rsid w:val="00246EB7"/>
    <w:rsid w:val="0026348F"/>
    <w:rsid w:val="00282612"/>
    <w:rsid w:val="002934F1"/>
    <w:rsid w:val="0029689D"/>
    <w:rsid w:val="002B128E"/>
    <w:rsid w:val="002B51C3"/>
    <w:rsid w:val="002E6D44"/>
    <w:rsid w:val="002E7CAE"/>
    <w:rsid w:val="002F3C76"/>
    <w:rsid w:val="002F4C8A"/>
    <w:rsid w:val="00307AD9"/>
    <w:rsid w:val="00310BF3"/>
    <w:rsid w:val="00352763"/>
    <w:rsid w:val="00354518"/>
    <w:rsid w:val="00386D1C"/>
    <w:rsid w:val="003A444D"/>
    <w:rsid w:val="003B0E53"/>
    <w:rsid w:val="003C1EC1"/>
    <w:rsid w:val="003D048A"/>
    <w:rsid w:val="003D2A14"/>
    <w:rsid w:val="003D5AA2"/>
    <w:rsid w:val="003F74F3"/>
    <w:rsid w:val="00412D75"/>
    <w:rsid w:val="00433CF7"/>
    <w:rsid w:val="004818C0"/>
    <w:rsid w:val="00495EA7"/>
    <w:rsid w:val="004A17D4"/>
    <w:rsid w:val="004D538F"/>
    <w:rsid w:val="004D5673"/>
    <w:rsid w:val="004E4FF3"/>
    <w:rsid w:val="004F7CD3"/>
    <w:rsid w:val="005022BB"/>
    <w:rsid w:val="00503926"/>
    <w:rsid w:val="005100EF"/>
    <w:rsid w:val="00510BFD"/>
    <w:rsid w:val="00522CEC"/>
    <w:rsid w:val="0053196F"/>
    <w:rsid w:val="00535E3B"/>
    <w:rsid w:val="00542E25"/>
    <w:rsid w:val="00557B9F"/>
    <w:rsid w:val="0058691F"/>
    <w:rsid w:val="005A6D28"/>
    <w:rsid w:val="005C305C"/>
    <w:rsid w:val="005D4D06"/>
    <w:rsid w:val="0061630C"/>
    <w:rsid w:val="00627DBF"/>
    <w:rsid w:val="0063173A"/>
    <w:rsid w:val="00643222"/>
    <w:rsid w:val="006530AE"/>
    <w:rsid w:val="006550FD"/>
    <w:rsid w:val="006717C6"/>
    <w:rsid w:val="00697483"/>
    <w:rsid w:val="006D0AA8"/>
    <w:rsid w:val="006D0CCA"/>
    <w:rsid w:val="007877CF"/>
    <w:rsid w:val="007B082D"/>
    <w:rsid w:val="007B1B1C"/>
    <w:rsid w:val="007C740D"/>
    <w:rsid w:val="007E500C"/>
    <w:rsid w:val="00817791"/>
    <w:rsid w:val="00821AA2"/>
    <w:rsid w:val="00835A5F"/>
    <w:rsid w:val="0088000F"/>
    <w:rsid w:val="00881147"/>
    <w:rsid w:val="008968F8"/>
    <w:rsid w:val="008B11BC"/>
    <w:rsid w:val="008D19F2"/>
    <w:rsid w:val="008D58D6"/>
    <w:rsid w:val="008F1C2D"/>
    <w:rsid w:val="00946F62"/>
    <w:rsid w:val="009629A7"/>
    <w:rsid w:val="00963B0B"/>
    <w:rsid w:val="00986FAE"/>
    <w:rsid w:val="009945EA"/>
    <w:rsid w:val="00994B23"/>
    <w:rsid w:val="009B113A"/>
    <w:rsid w:val="009D06C4"/>
    <w:rsid w:val="009E1EAB"/>
    <w:rsid w:val="009E68BE"/>
    <w:rsid w:val="00A11623"/>
    <w:rsid w:val="00A15484"/>
    <w:rsid w:val="00A335A5"/>
    <w:rsid w:val="00A51502"/>
    <w:rsid w:val="00A800CB"/>
    <w:rsid w:val="00A82B66"/>
    <w:rsid w:val="00A84FCF"/>
    <w:rsid w:val="00AA3C00"/>
    <w:rsid w:val="00AA765F"/>
    <w:rsid w:val="00AB45B4"/>
    <w:rsid w:val="00AD0DF7"/>
    <w:rsid w:val="00AE29B0"/>
    <w:rsid w:val="00AE583F"/>
    <w:rsid w:val="00AF0120"/>
    <w:rsid w:val="00AF4822"/>
    <w:rsid w:val="00AF5B21"/>
    <w:rsid w:val="00AF791C"/>
    <w:rsid w:val="00B178EF"/>
    <w:rsid w:val="00B2288F"/>
    <w:rsid w:val="00B3282E"/>
    <w:rsid w:val="00B60392"/>
    <w:rsid w:val="00B664CF"/>
    <w:rsid w:val="00B747BC"/>
    <w:rsid w:val="00B748AD"/>
    <w:rsid w:val="00B86577"/>
    <w:rsid w:val="00B917A4"/>
    <w:rsid w:val="00BC077C"/>
    <w:rsid w:val="00BC23A2"/>
    <w:rsid w:val="00BC3738"/>
    <w:rsid w:val="00BE2BD3"/>
    <w:rsid w:val="00C014A2"/>
    <w:rsid w:val="00C2074F"/>
    <w:rsid w:val="00C25079"/>
    <w:rsid w:val="00C33A4E"/>
    <w:rsid w:val="00C401DB"/>
    <w:rsid w:val="00C42F92"/>
    <w:rsid w:val="00C457E7"/>
    <w:rsid w:val="00C5272A"/>
    <w:rsid w:val="00C5448E"/>
    <w:rsid w:val="00C93E96"/>
    <w:rsid w:val="00C96712"/>
    <w:rsid w:val="00CB3C10"/>
    <w:rsid w:val="00CB7200"/>
    <w:rsid w:val="00CC41AF"/>
    <w:rsid w:val="00CF0BA9"/>
    <w:rsid w:val="00D12ED7"/>
    <w:rsid w:val="00D258AB"/>
    <w:rsid w:val="00D34C36"/>
    <w:rsid w:val="00D57C25"/>
    <w:rsid w:val="00D632A3"/>
    <w:rsid w:val="00D63958"/>
    <w:rsid w:val="00D64758"/>
    <w:rsid w:val="00DB3721"/>
    <w:rsid w:val="00DC12F0"/>
    <w:rsid w:val="00DC7E56"/>
    <w:rsid w:val="00DD40B6"/>
    <w:rsid w:val="00DE1B8D"/>
    <w:rsid w:val="00E442BC"/>
    <w:rsid w:val="00E53428"/>
    <w:rsid w:val="00E53C1D"/>
    <w:rsid w:val="00E554BD"/>
    <w:rsid w:val="00E66218"/>
    <w:rsid w:val="00E86F66"/>
    <w:rsid w:val="00EA0DCF"/>
    <w:rsid w:val="00EA7E5F"/>
    <w:rsid w:val="00EC42B4"/>
    <w:rsid w:val="00EE111C"/>
    <w:rsid w:val="00EE77EC"/>
    <w:rsid w:val="00F06668"/>
    <w:rsid w:val="00F07E7E"/>
    <w:rsid w:val="00F13AFC"/>
    <w:rsid w:val="00F150EE"/>
    <w:rsid w:val="00F26161"/>
    <w:rsid w:val="00F500FF"/>
    <w:rsid w:val="00F92438"/>
    <w:rsid w:val="00FA04AC"/>
    <w:rsid w:val="00FA4D99"/>
    <w:rsid w:val="00FB18FF"/>
    <w:rsid w:val="00FC05AD"/>
    <w:rsid w:val="00FC108A"/>
    <w:rsid w:val="00FD45BE"/>
    <w:rsid w:val="00FD704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A5E2A"/>
  <w15:chartTrackingRefBased/>
  <w15:docId w15:val="{B24014B5-91FC-4217-9305-D41ABB16D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074F"/>
    <w:pPr>
      <w:suppressAutoHyphens/>
      <w:spacing w:after="0" w:line="480" w:lineRule="auto"/>
      <w:ind w:firstLine="284"/>
      <w:jc w:val="both"/>
    </w:pPr>
    <w:rPr>
      <w:rFonts w:ascii="Times New Roman" w:eastAsiaTheme="minorEastAsia" w:hAnsi="Times New Roman" w:cs="Times New Roman"/>
      <w:sz w:val="24"/>
      <w:lang w:val="en-GB" w:eastAsia="zh-TW"/>
    </w:rPr>
  </w:style>
  <w:style w:type="paragraph" w:styleId="Heading1">
    <w:name w:val="heading 1"/>
    <w:basedOn w:val="Normal"/>
    <w:next w:val="Normal"/>
    <w:link w:val="Heading1Char"/>
    <w:uiPriority w:val="9"/>
    <w:qFormat/>
    <w:rsid w:val="000A7166"/>
    <w:pPr>
      <w:keepNext/>
      <w:keepLines/>
      <w:spacing w:before="240"/>
      <w:outlineLvl w:val="0"/>
    </w:pPr>
    <w:rPr>
      <w:rFonts w:eastAsiaTheme="majorEastAsia"/>
      <w:b/>
      <w:sz w:val="28"/>
      <w:szCs w:val="32"/>
    </w:rPr>
  </w:style>
  <w:style w:type="paragraph" w:styleId="Heading2">
    <w:name w:val="heading 2"/>
    <w:basedOn w:val="Normal"/>
    <w:next w:val="Normal"/>
    <w:link w:val="Heading2Char"/>
    <w:uiPriority w:val="9"/>
    <w:unhideWhenUsed/>
    <w:qFormat/>
    <w:rsid w:val="00E442BC"/>
    <w:pPr>
      <w:suppressAutoHyphens w:val="0"/>
      <w:spacing w:after="160" w:line="259" w:lineRule="auto"/>
      <w:ind w:firstLine="0"/>
      <w:jc w:val="left"/>
      <w:outlineLvl w:val="1"/>
    </w:pPr>
    <w:rPr>
      <w:rFonts w:cs="Lohit Devanagari"/>
      <w:b/>
      <w:iCs/>
      <w:szCs w:val="24"/>
      <w:lang w:val="en-US"/>
    </w:rPr>
  </w:style>
  <w:style w:type="paragraph" w:styleId="Heading3">
    <w:name w:val="heading 3"/>
    <w:basedOn w:val="Heading2"/>
    <w:next w:val="Normal"/>
    <w:link w:val="Heading3Char"/>
    <w:uiPriority w:val="9"/>
    <w:unhideWhenUsed/>
    <w:qFormat/>
    <w:rsid w:val="00E442BC"/>
    <w:pPr>
      <w:numPr>
        <w:ilvl w:val="1"/>
        <w:numId w:val="6"/>
      </w:numPr>
      <w:outlineLvl w:val="2"/>
    </w:pPr>
    <w:rPr>
      <w:b w:val="0"/>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2F3C76"/>
    <w:rPr>
      <w:sz w:val="16"/>
      <w:szCs w:val="16"/>
    </w:rPr>
  </w:style>
  <w:style w:type="character" w:customStyle="1" w:styleId="CommentTextChar">
    <w:name w:val="Comment Text Char"/>
    <w:basedOn w:val="DefaultParagraphFont"/>
    <w:link w:val="CommentText"/>
    <w:uiPriority w:val="99"/>
    <w:qFormat/>
    <w:rsid w:val="002F3C76"/>
    <w:rPr>
      <w:sz w:val="20"/>
      <w:szCs w:val="20"/>
    </w:rPr>
  </w:style>
  <w:style w:type="character" w:styleId="Strong">
    <w:name w:val="Strong"/>
    <w:basedOn w:val="DefaultParagraphFont"/>
    <w:uiPriority w:val="22"/>
    <w:qFormat/>
    <w:rsid w:val="002F3C76"/>
    <w:rPr>
      <w:b/>
      <w:bCs/>
    </w:rPr>
  </w:style>
  <w:style w:type="paragraph" w:styleId="Caption">
    <w:name w:val="caption"/>
    <w:basedOn w:val="Normal"/>
    <w:qFormat/>
    <w:rsid w:val="002F3C76"/>
    <w:pPr>
      <w:suppressLineNumbers/>
      <w:spacing w:before="120" w:after="120"/>
    </w:pPr>
    <w:rPr>
      <w:rFonts w:cs="Lohit Devanagari"/>
      <w:i/>
      <w:iCs/>
      <w:szCs w:val="24"/>
    </w:rPr>
  </w:style>
  <w:style w:type="paragraph" w:styleId="CommentText">
    <w:name w:val="annotation text"/>
    <w:basedOn w:val="Normal"/>
    <w:link w:val="CommentTextChar"/>
    <w:uiPriority w:val="99"/>
    <w:unhideWhenUsed/>
    <w:qFormat/>
    <w:rsid w:val="002F3C76"/>
    <w:pPr>
      <w:spacing w:line="240" w:lineRule="auto"/>
    </w:pPr>
    <w:rPr>
      <w:rFonts w:asciiTheme="minorHAnsi" w:eastAsiaTheme="minorHAnsi" w:hAnsiTheme="minorHAnsi" w:cstheme="minorBidi"/>
      <w:sz w:val="20"/>
      <w:szCs w:val="20"/>
      <w:lang w:val="de-DE" w:eastAsia="en-US"/>
    </w:rPr>
  </w:style>
  <w:style w:type="character" w:customStyle="1" w:styleId="KommentartextZchn1">
    <w:name w:val="Kommentartext Zchn1"/>
    <w:basedOn w:val="DefaultParagraphFont"/>
    <w:uiPriority w:val="99"/>
    <w:semiHidden/>
    <w:rsid w:val="002F3C76"/>
    <w:rPr>
      <w:rFonts w:ascii="Times New Roman" w:eastAsiaTheme="minorEastAsia" w:hAnsi="Times New Roman" w:cs="Times New Roman"/>
      <w:sz w:val="20"/>
      <w:szCs w:val="20"/>
      <w:lang w:val="en-GB" w:eastAsia="zh-TW"/>
    </w:rPr>
  </w:style>
  <w:style w:type="character" w:customStyle="1" w:styleId="cl-7e792868">
    <w:name w:val="cl-7e792868"/>
    <w:basedOn w:val="DefaultParagraphFont"/>
    <w:rsid w:val="002F3C76"/>
  </w:style>
  <w:style w:type="character" w:customStyle="1" w:styleId="cl-7eee3cfc">
    <w:name w:val="cl-7eee3cfc"/>
    <w:basedOn w:val="DefaultParagraphFont"/>
    <w:rsid w:val="002F3C76"/>
  </w:style>
  <w:style w:type="character" w:customStyle="1" w:styleId="cl-7f4c396a">
    <w:name w:val="cl-7f4c396a"/>
    <w:basedOn w:val="DefaultParagraphFont"/>
    <w:rsid w:val="002F3C76"/>
  </w:style>
  <w:style w:type="character" w:customStyle="1" w:styleId="cl-7fd5f48e">
    <w:name w:val="cl-7fd5f48e"/>
    <w:basedOn w:val="DefaultParagraphFont"/>
    <w:rsid w:val="002F3C76"/>
  </w:style>
  <w:style w:type="character" w:customStyle="1" w:styleId="cl-80344a98">
    <w:name w:val="cl-80344a98"/>
    <w:basedOn w:val="DefaultParagraphFont"/>
    <w:rsid w:val="002F3C76"/>
  </w:style>
  <w:style w:type="character" w:customStyle="1" w:styleId="cl-808735d2">
    <w:name w:val="cl-808735d2"/>
    <w:basedOn w:val="DefaultParagraphFont"/>
    <w:rsid w:val="002F3C76"/>
  </w:style>
  <w:style w:type="character" w:customStyle="1" w:styleId="cl-11fbc5d4">
    <w:name w:val="cl-11fbc5d4"/>
    <w:basedOn w:val="DefaultParagraphFont"/>
    <w:rsid w:val="002F3C76"/>
  </w:style>
  <w:style w:type="character" w:customStyle="1" w:styleId="cl-12f36c3a">
    <w:name w:val="cl-12f36c3a"/>
    <w:basedOn w:val="DefaultParagraphFont"/>
    <w:rsid w:val="002F3C76"/>
  </w:style>
  <w:style w:type="character" w:customStyle="1" w:styleId="cl-1365663c">
    <w:name w:val="cl-1365663c"/>
    <w:basedOn w:val="DefaultParagraphFont"/>
    <w:rsid w:val="002F3C76"/>
  </w:style>
  <w:style w:type="character" w:customStyle="1" w:styleId="cl-13be1fca">
    <w:name w:val="cl-13be1fca"/>
    <w:basedOn w:val="DefaultParagraphFont"/>
    <w:rsid w:val="002F3C76"/>
  </w:style>
  <w:style w:type="character" w:customStyle="1" w:styleId="cl-141abf28">
    <w:name w:val="cl-141abf28"/>
    <w:basedOn w:val="DefaultParagraphFont"/>
    <w:rsid w:val="002F3C76"/>
  </w:style>
  <w:style w:type="character" w:customStyle="1" w:styleId="cl-1486f684">
    <w:name w:val="cl-1486f684"/>
    <w:basedOn w:val="DefaultParagraphFont"/>
    <w:rsid w:val="002F3C76"/>
  </w:style>
  <w:style w:type="paragraph" w:styleId="BalloonText">
    <w:name w:val="Balloon Text"/>
    <w:basedOn w:val="Normal"/>
    <w:link w:val="BalloonTextChar"/>
    <w:uiPriority w:val="99"/>
    <w:semiHidden/>
    <w:unhideWhenUsed/>
    <w:rsid w:val="002F3C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3C76"/>
    <w:rPr>
      <w:rFonts w:ascii="Segoe UI" w:eastAsiaTheme="minorEastAsia" w:hAnsi="Segoe UI" w:cs="Segoe UI"/>
      <w:sz w:val="18"/>
      <w:szCs w:val="18"/>
      <w:lang w:val="en-GB" w:eastAsia="zh-TW"/>
    </w:rPr>
  </w:style>
  <w:style w:type="paragraph" w:styleId="CommentSubject">
    <w:name w:val="annotation subject"/>
    <w:basedOn w:val="CommentText"/>
    <w:next w:val="CommentText"/>
    <w:link w:val="CommentSubjectChar"/>
    <w:uiPriority w:val="99"/>
    <w:semiHidden/>
    <w:unhideWhenUsed/>
    <w:rsid w:val="002F3C76"/>
    <w:rPr>
      <w:rFonts w:ascii="Times New Roman" w:eastAsiaTheme="minorEastAsia" w:hAnsi="Times New Roman" w:cs="Times New Roman"/>
      <w:b/>
      <w:bCs/>
      <w:lang w:val="en-GB" w:eastAsia="zh-TW"/>
    </w:rPr>
  </w:style>
  <w:style w:type="character" w:customStyle="1" w:styleId="CommentSubjectChar">
    <w:name w:val="Comment Subject Char"/>
    <w:basedOn w:val="CommentTextChar"/>
    <w:link w:val="CommentSubject"/>
    <w:uiPriority w:val="99"/>
    <w:semiHidden/>
    <w:rsid w:val="002F3C76"/>
    <w:rPr>
      <w:rFonts w:ascii="Times New Roman" w:eastAsiaTheme="minorEastAsia" w:hAnsi="Times New Roman" w:cs="Times New Roman"/>
      <w:b/>
      <w:bCs/>
      <w:sz w:val="20"/>
      <w:szCs w:val="20"/>
      <w:lang w:val="en-GB" w:eastAsia="zh-TW"/>
    </w:rPr>
  </w:style>
  <w:style w:type="character" w:customStyle="1" w:styleId="Nummerierungszeichen">
    <w:name w:val="Nummerierungszeichen"/>
    <w:qFormat/>
    <w:rsid w:val="000A7166"/>
  </w:style>
  <w:style w:type="character" w:customStyle="1" w:styleId="Heading1Char">
    <w:name w:val="Heading 1 Char"/>
    <w:basedOn w:val="DefaultParagraphFont"/>
    <w:link w:val="Heading1"/>
    <w:uiPriority w:val="9"/>
    <w:qFormat/>
    <w:rsid w:val="000A7166"/>
    <w:rPr>
      <w:rFonts w:ascii="Times New Roman" w:eastAsiaTheme="majorEastAsia" w:hAnsi="Times New Roman" w:cs="Times New Roman"/>
      <w:b/>
      <w:sz w:val="28"/>
      <w:szCs w:val="32"/>
      <w:lang w:val="en-GB" w:eastAsia="zh-TW"/>
    </w:rPr>
  </w:style>
  <w:style w:type="character" w:customStyle="1" w:styleId="Heading2Char">
    <w:name w:val="Heading 2 Char"/>
    <w:basedOn w:val="DefaultParagraphFont"/>
    <w:link w:val="Heading2"/>
    <w:uiPriority w:val="9"/>
    <w:qFormat/>
    <w:rsid w:val="00E442BC"/>
    <w:rPr>
      <w:rFonts w:ascii="Times New Roman" w:eastAsiaTheme="minorEastAsia" w:hAnsi="Times New Roman" w:cs="Lohit Devanagari"/>
      <w:b/>
      <w:iCs/>
      <w:sz w:val="24"/>
      <w:szCs w:val="24"/>
      <w:lang w:val="en-US" w:eastAsia="zh-TW"/>
    </w:rPr>
  </w:style>
  <w:style w:type="character" w:customStyle="1" w:styleId="Heading3Char">
    <w:name w:val="Heading 3 Char"/>
    <w:basedOn w:val="DefaultParagraphFont"/>
    <w:link w:val="Heading3"/>
    <w:uiPriority w:val="9"/>
    <w:rsid w:val="00E442BC"/>
    <w:rPr>
      <w:rFonts w:ascii="Times New Roman" w:eastAsiaTheme="minorEastAsia" w:hAnsi="Times New Roman" w:cs="Lohit Devanagari"/>
      <w:i/>
      <w:iCs/>
      <w:sz w:val="24"/>
      <w:szCs w:val="24"/>
      <w:lang w:val="en-US" w:eastAsia="zh-TW"/>
    </w:rPr>
  </w:style>
  <w:style w:type="character" w:styleId="Emphasis">
    <w:name w:val="Emphasis"/>
    <w:basedOn w:val="DefaultParagraphFont"/>
    <w:uiPriority w:val="20"/>
    <w:qFormat/>
    <w:rsid w:val="003A444D"/>
    <w:rPr>
      <w:i/>
      <w:iCs/>
    </w:rPr>
  </w:style>
  <w:style w:type="character" w:styleId="HTMLCode">
    <w:name w:val="HTML Code"/>
    <w:basedOn w:val="DefaultParagraphFont"/>
    <w:uiPriority w:val="99"/>
    <w:semiHidden/>
    <w:unhideWhenUsed/>
    <w:rsid w:val="003A444D"/>
    <w:rPr>
      <w:rFonts w:ascii="Courier New" w:eastAsia="Times New Roman" w:hAnsi="Courier New" w:cs="Courier New"/>
      <w:sz w:val="20"/>
      <w:szCs w:val="20"/>
    </w:rPr>
  </w:style>
  <w:style w:type="paragraph" w:styleId="ListParagraph">
    <w:name w:val="List Paragraph"/>
    <w:basedOn w:val="Normal"/>
    <w:uiPriority w:val="34"/>
    <w:qFormat/>
    <w:rsid w:val="00F06668"/>
    <w:pPr>
      <w:ind w:left="720"/>
      <w:contextualSpacing/>
    </w:pPr>
  </w:style>
  <w:style w:type="paragraph" w:customStyle="1" w:styleId="berschrift">
    <w:name w:val="Überschrift"/>
    <w:basedOn w:val="Normal"/>
    <w:next w:val="BodyText"/>
    <w:qFormat/>
    <w:rsid w:val="007C740D"/>
    <w:pPr>
      <w:keepNext/>
      <w:spacing w:before="240" w:after="120"/>
    </w:pPr>
    <w:rPr>
      <w:rFonts w:eastAsia="Noto Sans CJK SC"/>
      <w:b/>
      <w:sz w:val="28"/>
      <w:szCs w:val="28"/>
    </w:rPr>
  </w:style>
  <w:style w:type="paragraph" w:styleId="BodyText">
    <w:name w:val="Body Text"/>
    <w:basedOn w:val="Normal"/>
    <w:link w:val="BodyTextChar"/>
    <w:uiPriority w:val="99"/>
    <w:semiHidden/>
    <w:unhideWhenUsed/>
    <w:rsid w:val="007C740D"/>
    <w:pPr>
      <w:spacing w:after="120"/>
    </w:pPr>
  </w:style>
  <w:style w:type="character" w:customStyle="1" w:styleId="BodyTextChar">
    <w:name w:val="Body Text Char"/>
    <w:basedOn w:val="DefaultParagraphFont"/>
    <w:link w:val="BodyText"/>
    <w:uiPriority w:val="99"/>
    <w:semiHidden/>
    <w:rsid w:val="007C740D"/>
    <w:rPr>
      <w:rFonts w:ascii="Times New Roman" w:eastAsiaTheme="minorEastAsia" w:hAnsi="Times New Roman" w:cs="Times New Roman"/>
      <w:sz w:val="24"/>
      <w:lang w:val="en-GB" w:eastAsia="zh-TW"/>
    </w:rPr>
  </w:style>
  <w:style w:type="character" w:styleId="Hyperlink">
    <w:name w:val="Hyperlink"/>
    <w:basedOn w:val="DefaultParagraphFont"/>
    <w:uiPriority w:val="99"/>
    <w:unhideWhenUsed/>
    <w:rsid w:val="00AD0DF7"/>
    <w:rPr>
      <w:color w:val="0563C1" w:themeColor="hyperlink"/>
      <w:u w:val="single"/>
    </w:rPr>
  </w:style>
  <w:style w:type="character" w:styleId="UnresolvedMention">
    <w:name w:val="Unresolved Mention"/>
    <w:basedOn w:val="DefaultParagraphFont"/>
    <w:uiPriority w:val="99"/>
    <w:semiHidden/>
    <w:unhideWhenUsed/>
    <w:rsid w:val="00AD0DF7"/>
    <w:rPr>
      <w:color w:val="605E5C"/>
      <w:shd w:val="clear" w:color="auto" w:fill="E1DFDD"/>
    </w:rPr>
  </w:style>
  <w:style w:type="table" w:styleId="TableGrid">
    <w:name w:val="Table Grid"/>
    <w:basedOn w:val="TableNormal"/>
    <w:uiPriority w:val="39"/>
    <w:rsid w:val="006163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E583F"/>
    <w:pPr>
      <w:spacing w:after="0" w:line="240" w:lineRule="auto"/>
    </w:pPr>
    <w:rPr>
      <w:rFonts w:ascii="Times New Roman" w:eastAsiaTheme="minorEastAsia" w:hAnsi="Times New Roman" w:cs="Times New Roman"/>
      <w:sz w:val="24"/>
      <w:lang w:val="en-GB" w:eastAsia="zh-TW"/>
    </w:rPr>
  </w:style>
  <w:style w:type="paragraph" w:styleId="Bibliography">
    <w:name w:val="Bibliography"/>
    <w:basedOn w:val="Normal"/>
    <w:next w:val="Normal"/>
    <w:uiPriority w:val="37"/>
    <w:unhideWhenUsed/>
    <w:rsid w:val="00EA7E5F"/>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37861">
      <w:bodyDiv w:val="1"/>
      <w:marLeft w:val="0"/>
      <w:marRight w:val="0"/>
      <w:marTop w:val="0"/>
      <w:marBottom w:val="0"/>
      <w:divBdr>
        <w:top w:val="none" w:sz="0" w:space="0" w:color="auto"/>
        <w:left w:val="none" w:sz="0" w:space="0" w:color="auto"/>
        <w:bottom w:val="none" w:sz="0" w:space="0" w:color="auto"/>
        <w:right w:val="none" w:sz="0" w:space="0" w:color="auto"/>
      </w:divBdr>
    </w:div>
    <w:div w:id="247811970">
      <w:bodyDiv w:val="1"/>
      <w:marLeft w:val="0"/>
      <w:marRight w:val="0"/>
      <w:marTop w:val="0"/>
      <w:marBottom w:val="0"/>
      <w:divBdr>
        <w:top w:val="none" w:sz="0" w:space="0" w:color="auto"/>
        <w:left w:val="none" w:sz="0" w:space="0" w:color="auto"/>
        <w:bottom w:val="none" w:sz="0" w:space="0" w:color="auto"/>
        <w:right w:val="none" w:sz="0" w:space="0" w:color="auto"/>
      </w:divBdr>
    </w:div>
    <w:div w:id="251744581">
      <w:bodyDiv w:val="1"/>
      <w:marLeft w:val="0"/>
      <w:marRight w:val="0"/>
      <w:marTop w:val="0"/>
      <w:marBottom w:val="0"/>
      <w:divBdr>
        <w:top w:val="none" w:sz="0" w:space="0" w:color="auto"/>
        <w:left w:val="none" w:sz="0" w:space="0" w:color="auto"/>
        <w:bottom w:val="none" w:sz="0" w:space="0" w:color="auto"/>
        <w:right w:val="none" w:sz="0" w:space="0" w:color="auto"/>
      </w:divBdr>
    </w:div>
    <w:div w:id="645352446">
      <w:bodyDiv w:val="1"/>
      <w:marLeft w:val="0"/>
      <w:marRight w:val="0"/>
      <w:marTop w:val="0"/>
      <w:marBottom w:val="0"/>
      <w:divBdr>
        <w:top w:val="none" w:sz="0" w:space="0" w:color="auto"/>
        <w:left w:val="none" w:sz="0" w:space="0" w:color="auto"/>
        <w:bottom w:val="none" w:sz="0" w:space="0" w:color="auto"/>
        <w:right w:val="none" w:sz="0" w:space="0" w:color="auto"/>
      </w:divBdr>
    </w:div>
    <w:div w:id="786001313">
      <w:bodyDiv w:val="1"/>
      <w:marLeft w:val="0"/>
      <w:marRight w:val="0"/>
      <w:marTop w:val="0"/>
      <w:marBottom w:val="0"/>
      <w:divBdr>
        <w:top w:val="none" w:sz="0" w:space="0" w:color="auto"/>
        <w:left w:val="none" w:sz="0" w:space="0" w:color="auto"/>
        <w:bottom w:val="none" w:sz="0" w:space="0" w:color="auto"/>
        <w:right w:val="none" w:sz="0" w:space="0" w:color="auto"/>
      </w:divBdr>
    </w:div>
    <w:div w:id="939262585">
      <w:bodyDiv w:val="1"/>
      <w:marLeft w:val="0"/>
      <w:marRight w:val="0"/>
      <w:marTop w:val="0"/>
      <w:marBottom w:val="0"/>
      <w:divBdr>
        <w:top w:val="none" w:sz="0" w:space="0" w:color="auto"/>
        <w:left w:val="none" w:sz="0" w:space="0" w:color="auto"/>
        <w:bottom w:val="none" w:sz="0" w:space="0" w:color="auto"/>
        <w:right w:val="none" w:sz="0" w:space="0" w:color="auto"/>
      </w:divBdr>
    </w:div>
    <w:div w:id="1032923670">
      <w:bodyDiv w:val="1"/>
      <w:marLeft w:val="0"/>
      <w:marRight w:val="0"/>
      <w:marTop w:val="0"/>
      <w:marBottom w:val="0"/>
      <w:divBdr>
        <w:top w:val="none" w:sz="0" w:space="0" w:color="auto"/>
        <w:left w:val="none" w:sz="0" w:space="0" w:color="auto"/>
        <w:bottom w:val="none" w:sz="0" w:space="0" w:color="auto"/>
        <w:right w:val="none" w:sz="0" w:space="0" w:color="auto"/>
      </w:divBdr>
    </w:div>
    <w:div w:id="1103381468">
      <w:bodyDiv w:val="1"/>
      <w:marLeft w:val="0"/>
      <w:marRight w:val="0"/>
      <w:marTop w:val="0"/>
      <w:marBottom w:val="0"/>
      <w:divBdr>
        <w:top w:val="none" w:sz="0" w:space="0" w:color="auto"/>
        <w:left w:val="none" w:sz="0" w:space="0" w:color="auto"/>
        <w:bottom w:val="none" w:sz="0" w:space="0" w:color="auto"/>
        <w:right w:val="none" w:sz="0" w:space="0" w:color="auto"/>
      </w:divBdr>
    </w:div>
    <w:div w:id="1113473888">
      <w:bodyDiv w:val="1"/>
      <w:marLeft w:val="0"/>
      <w:marRight w:val="0"/>
      <w:marTop w:val="0"/>
      <w:marBottom w:val="0"/>
      <w:divBdr>
        <w:top w:val="none" w:sz="0" w:space="0" w:color="auto"/>
        <w:left w:val="none" w:sz="0" w:space="0" w:color="auto"/>
        <w:bottom w:val="none" w:sz="0" w:space="0" w:color="auto"/>
        <w:right w:val="none" w:sz="0" w:space="0" w:color="auto"/>
      </w:divBdr>
    </w:div>
    <w:div w:id="1174955413">
      <w:bodyDiv w:val="1"/>
      <w:marLeft w:val="0"/>
      <w:marRight w:val="0"/>
      <w:marTop w:val="0"/>
      <w:marBottom w:val="0"/>
      <w:divBdr>
        <w:top w:val="none" w:sz="0" w:space="0" w:color="auto"/>
        <w:left w:val="none" w:sz="0" w:space="0" w:color="auto"/>
        <w:bottom w:val="none" w:sz="0" w:space="0" w:color="auto"/>
        <w:right w:val="none" w:sz="0" w:space="0" w:color="auto"/>
      </w:divBdr>
    </w:div>
    <w:div w:id="1197890021">
      <w:bodyDiv w:val="1"/>
      <w:marLeft w:val="0"/>
      <w:marRight w:val="0"/>
      <w:marTop w:val="0"/>
      <w:marBottom w:val="0"/>
      <w:divBdr>
        <w:top w:val="none" w:sz="0" w:space="0" w:color="auto"/>
        <w:left w:val="none" w:sz="0" w:space="0" w:color="auto"/>
        <w:bottom w:val="none" w:sz="0" w:space="0" w:color="auto"/>
        <w:right w:val="none" w:sz="0" w:space="0" w:color="auto"/>
      </w:divBdr>
    </w:div>
    <w:div w:id="1266764011">
      <w:bodyDiv w:val="1"/>
      <w:marLeft w:val="0"/>
      <w:marRight w:val="0"/>
      <w:marTop w:val="0"/>
      <w:marBottom w:val="0"/>
      <w:divBdr>
        <w:top w:val="none" w:sz="0" w:space="0" w:color="auto"/>
        <w:left w:val="none" w:sz="0" w:space="0" w:color="auto"/>
        <w:bottom w:val="none" w:sz="0" w:space="0" w:color="auto"/>
        <w:right w:val="none" w:sz="0" w:space="0" w:color="auto"/>
      </w:divBdr>
    </w:div>
    <w:div w:id="1272786529">
      <w:bodyDiv w:val="1"/>
      <w:marLeft w:val="0"/>
      <w:marRight w:val="0"/>
      <w:marTop w:val="0"/>
      <w:marBottom w:val="0"/>
      <w:divBdr>
        <w:top w:val="none" w:sz="0" w:space="0" w:color="auto"/>
        <w:left w:val="none" w:sz="0" w:space="0" w:color="auto"/>
        <w:bottom w:val="none" w:sz="0" w:space="0" w:color="auto"/>
        <w:right w:val="none" w:sz="0" w:space="0" w:color="auto"/>
      </w:divBdr>
    </w:div>
    <w:div w:id="1284582107">
      <w:bodyDiv w:val="1"/>
      <w:marLeft w:val="0"/>
      <w:marRight w:val="0"/>
      <w:marTop w:val="0"/>
      <w:marBottom w:val="0"/>
      <w:divBdr>
        <w:top w:val="none" w:sz="0" w:space="0" w:color="auto"/>
        <w:left w:val="none" w:sz="0" w:space="0" w:color="auto"/>
        <w:bottom w:val="none" w:sz="0" w:space="0" w:color="auto"/>
        <w:right w:val="none" w:sz="0" w:space="0" w:color="auto"/>
      </w:divBdr>
    </w:div>
    <w:div w:id="1363702193">
      <w:bodyDiv w:val="1"/>
      <w:marLeft w:val="0"/>
      <w:marRight w:val="0"/>
      <w:marTop w:val="0"/>
      <w:marBottom w:val="0"/>
      <w:divBdr>
        <w:top w:val="none" w:sz="0" w:space="0" w:color="auto"/>
        <w:left w:val="none" w:sz="0" w:space="0" w:color="auto"/>
        <w:bottom w:val="none" w:sz="0" w:space="0" w:color="auto"/>
        <w:right w:val="none" w:sz="0" w:space="0" w:color="auto"/>
      </w:divBdr>
    </w:div>
    <w:div w:id="1405882809">
      <w:bodyDiv w:val="1"/>
      <w:marLeft w:val="0"/>
      <w:marRight w:val="0"/>
      <w:marTop w:val="0"/>
      <w:marBottom w:val="0"/>
      <w:divBdr>
        <w:top w:val="none" w:sz="0" w:space="0" w:color="auto"/>
        <w:left w:val="none" w:sz="0" w:space="0" w:color="auto"/>
        <w:bottom w:val="none" w:sz="0" w:space="0" w:color="auto"/>
        <w:right w:val="none" w:sz="0" w:space="0" w:color="auto"/>
      </w:divBdr>
    </w:div>
    <w:div w:id="1412197689">
      <w:bodyDiv w:val="1"/>
      <w:marLeft w:val="0"/>
      <w:marRight w:val="0"/>
      <w:marTop w:val="0"/>
      <w:marBottom w:val="0"/>
      <w:divBdr>
        <w:top w:val="none" w:sz="0" w:space="0" w:color="auto"/>
        <w:left w:val="none" w:sz="0" w:space="0" w:color="auto"/>
        <w:bottom w:val="none" w:sz="0" w:space="0" w:color="auto"/>
        <w:right w:val="none" w:sz="0" w:space="0" w:color="auto"/>
      </w:divBdr>
    </w:div>
    <w:div w:id="1603801953">
      <w:bodyDiv w:val="1"/>
      <w:marLeft w:val="0"/>
      <w:marRight w:val="0"/>
      <w:marTop w:val="0"/>
      <w:marBottom w:val="0"/>
      <w:divBdr>
        <w:top w:val="none" w:sz="0" w:space="0" w:color="auto"/>
        <w:left w:val="none" w:sz="0" w:space="0" w:color="auto"/>
        <w:bottom w:val="none" w:sz="0" w:space="0" w:color="auto"/>
        <w:right w:val="none" w:sz="0" w:space="0" w:color="auto"/>
      </w:divBdr>
    </w:div>
    <w:div w:id="1688823090">
      <w:bodyDiv w:val="1"/>
      <w:marLeft w:val="0"/>
      <w:marRight w:val="0"/>
      <w:marTop w:val="0"/>
      <w:marBottom w:val="0"/>
      <w:divBdr>
        <w:top w:val="none" w:sz="0" w:space="0" w:color="auto"/>
        <w:left w:val="none" w:sz="0" w:space="0" w:color="auto"/>
        <w:bottom w:val="none" w:sz="0" w:space="0" w:color="auto"/>
        <w:right w:val="none" w:sz="0" w:space="0" w:color="auto"/>
      </w:divBdr>
    </w:div>
    <w:div w:id="171711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E780A-C456-4BD2-98F6-C2E5D36AD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5113</Words>
  <Characters>29145</Characters>
  <Application>Microsoft Office Word</Application>
  <DocSecurity>0</DocSecurity>
  <Lines>242</Lines>
  <Paragraphs>68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UKD</Company>
  <LinksUpToDate>false</LinksUpToDate>
  <CharactersWithSpaces>34190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Kolb, Theresa</dc:creator>
  <cp:keywords/>
  <dc:description/>
  <cp:lastModifiedBy>Kolb, Theresa</cp:lastModifiedBy>
  <cp:revision>3</cp:revision>
  <dcterms:created xsi:type="dcterms:W3CDTF">2025-11-10T09:54:00Z</dcterms:created>
  <dcterms:modified xsi:type="dcterms:W3CDTF">2025-11-11T15:11:00Z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id="WsmmDArb"/&gt;&lt;style id="http://www.zotero.org/styles/vancouver" locale="de-DE" hasBibliography="1" bibliographyStyleHasBeenSet="1"/&gt;&lt;prefs&gt;&lt;pref name="fieldType" value="Field"/&gt;&lt;/prefs&gt;&lt;/data&gt;</vt:lpwstr>
  </property>
</Properties>
</file>