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70ECF" w14:textId="77777777" w:rsidR="001A7C0F" w:rsidRPr="001A7C0F" w:rsidRDefault="001A7C0F" w:rsidP="001A7C0F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Toc183635664"/>
      <w:r w:rsidRPr="001A7C0F">
        <w:rPr>
          <w:rFonts w:ascii="Arial" w:hAnsi="Arial" w:cs="Arial"/>
          <w:b/>
          <w:bCs/>
          <w:color w:val="auto"/>
          <w:sz w:val="24"/>
          <w:szCs w:val="24"/>
        </w:rPr>
        <w:t>Supplemental Material</w:t>
      </w:r>
    </w:p>
    <w:p w14:paraId="4CA00DD7" w14:textId="77777777" w:rsidR="001A7C0F" w:rsidRPr="00F85446" w:rsidRDefault="001A7C0F" w:rsidP="001A7C0F">
      <w:pPr>
        <w:pStyle w:val="Caption"/>
        <w:jc w:val="center"/>
      </w:pPr>
      <w:r>
        <w:rPr>
          <w:noProof/>
        </w:rPr>
        <w:drawing>
          <wp:inline distT="0" distB="0" distL="0" distR="0" wp14:anchorId="58DF3812" wp14:editId="0676F790">
            <wp:extent cx="5682098" cy="4572000"/>
            <wp:effectExtent l="0" t="0" r="0" b="0"/>
            <wp:docPr id="209265535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655353" name="Picture 2092655353"/>
                    <pic:cNvPicPr/>
                  </pic:nvPicPr>
                  <pic:blipFill rotWithShape="1">
                    <a:blip r:embed="rId6"/>
                    <a:srcRect t="-817" b="43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098" cy="457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FC780" w14:textId="7793ED83" w:rsidR="001A7C0F" w:rsidRPr="00F85446" w:rsidRDefault="001A7C0F" w:rsidP="001A7C0F">
      <w:pPr>
        <w:pStyle w:val="Caption"/>
      </w:pPr>
      <w:r w:rsidRPr="00D4791E">
        <w:t xml:space="preserve">Figure </w:t>
      </w:r>
      <w:r w:rsidR="00397C39">
        <w:t>S</w:t>
      </w:r>
      <w:fldSimple w:instr=" SEQ Supplemental_Figure \* ARABIC ">
        <w:r>
          <w:rPr>
            <w:noProof/>
          </w:rPr>
          <w:t>1</w:t>
        </w:r>
      </w:fldSimple>
      <w:r w:rsidRPr="00D4791E">
        <w:t xml:space="preserve"> </w:t>
      </w:r>
      <w:r>
        <w:t>–</w:t>
      </w:r>
      <w:r w:rsidRPr="00D4791E">
        <w:t xml:space="preserve"> </w:t>
      </w:r>
      <w:r>
        <w:rPr>
          <w:szCs w:val="20"/>
        </w:rPr>
        <w:t>A detailed scheme of the Na-HMP fractionation workflow.</w:t>
      </w:r>
    </w:p>
    <w:p w14:paraId="30D53D89" w14:textId="2A37F9AF" w:rsidR="001A7C0F" w:rsidRDefault="001A7C0F" w:rsidP="001A7C0F">
      <w:pPr>
        <w:pStyle w:val="Caption"/>
        <w:rPr>
          <w:i/>
          <w:szCs w:val="20"/>
        </w:rPr>
      </w:pPr>
      <w:r>
        <w:rPr>
          <w:szCs w:val="20"/>
        </w:rPr>
        <w:t>Working time and total time for Na-HMP solution preparation, dispersion, sieving, and drying (</w:t>
      </w:r>
      <w:r>
        <w:rPr>
          <w:i/>
          <w:szCs w:val="20"/>
        </w:rPr>
        <w:t xml:space="preserve">Created with </w:t>
      </w:r>
      <w:hyperlink r:id="rId7">
        <w:r>
          <w:rPr>
            <w:i/>
            <w:color w:val="1155CC"/>
            <w:szCs w:val="20"/>
            <w:u w:val="single"/>
          </w:rPr>
          <w:t>BioRender.com</w:t>
        </w:r>
      </w:hyperlink>
      <w:r>
        <w:rPr>
          <w:i/>
          <w:szCs w:val="20"/>
        </w:rPr>
        <w:t>).</w:t>
      </w:r>
    </w:p>
    <w:p w14:paraId="6CEDF2AB" w14:textId="205440C2" w:rsidR="002C5959" w:rsidRDefault="003D4DB2" w:rsidP="003D4DB2">
      <w:pPr>
        <w:spacing w:after="160" w:line="278" w:lineRule="auto"/>
        <w:jc w:val="left"/>
      </w:pPr>
      <w:r>
        <w:br w:type="page"/>
      </w:r>
    </w:p>
    <w:p w14:paraId="14D27A01" w14:textId="77777777" w:rsidR="003D4DB2" w:rsidRDefault="003D4DB2" w:rsidP="003D4DB2">
      <w:r>
        <w:rPr>
          <w:noProof/>
        </w:rPr>
        <w:lastRenderedPageBreak/>
        <w:drawing>
          <wp:inline distT="0" distB="0" distL="0" distR="0" wp14:anchorId="1C8071D8" wp14:editId="2730A51C">
            <wp:extent cx="5731510" cy="2579370"/>
            <wp:effectExtent l="0" t="0" r="0" b="0"/>
            <wp:docPr id="701635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635381" name="Picture 7016353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F30A2" w14:textId="4B80C664" w:rsidR="003D4DB2" w:rsidRDefault="003D4DB2" w:rsidP="003D4DB2">
      <w:pPr>
        <w:pStyle w:val="Caption"/>
        <w:rPr>
          <w:szCs w:val="20"/>
        </w:rPr>
      </w:pPr>
      <w:r w:rsidRPr="00D4791E">
        <w:t xml:space="preserve">Figure </w:t>
      </w:r>
      <w:r>
        <w:t>S</w:t>
      </w:r>
      <w:r>
        <w:fldChar w:fldCharType="begin"/>
      </w:r>
      <w:r>
        <w:instrText xml:space="preserve"> SEQ Supplemental_Figure \* ARABIC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 w:rsidRPr="00D4791E">
        <w:t xml:space="preserve"> </w:t>
      </w:r>
      <w:r>
        <w:t>–</w:t>
      </w:r>
      <w:r w:rsidRPr="00D4791E">
        <w:t xml:space="preserve"> </w:t>
      </w:r>
      <w:r w:rsidRPr="002C5959">
        <w:rPr>
          <w:szCs w:val="20"/>
        </w:rPr>
        <w:t xml:space="preserve">Diagnostic plots for the mixed-effects model of Range </w:t>
      </w:r>
      <w:proofErr w:type="spellStart"/>
      <w:r w:rsidRPr="002C5959">
        <w:rPr>
          <w:szCs w:val="20"/>
        </w:rPr>
        <w:t>fC</w:t>
      </w:r>
      <w:proofErr w:type="spellEnd"/>
      <w:r w:rsidRPr="002C5959">
        <w:rPr>
          <w:rFonts w:ascii="Cambria Math" w:hAnsi="Cambria Math" w:cs="Cambria Math"/>
          <w:szCs w:val="20"/>
        </w:rPr>
        <w:t>₄</w:t>
      </w:r>
      <w:r w:rsidRPr="002C5959">
        <w:rPr>
          <w:szCs w:val="20"/>
        </w:rPr>
        <w:t xml:space="preserve">. </w:t>
      </w:r>
    </w:p>
    <w:p w14:paraId="1B19A081" w14:textId="77777777" w:rsidR="003D4DB2" w:rsidRDefault="003D4DB2" w:rsidP="003D4DB2">
      <w:pPr>
        <w:pStyle w:val="Caption"/>
        <w:rPr>
          <w:szCs w:val="20"/>
        </w:rPr>
      </w:pPr>
      <w:r w:rsidRPr="002C5959">
        <w:rPr>
          <w:b/>
          <w:bCs/>
          <w:szCs w:val="20"/>
        </w:rPr>
        <w:t>A</w:t>
      </w:r>
      <w:r>
        <w:rPr>
          <w:b/>
          <w:bCs/>
          <w:szCs w:val="20"/>
        </w:rPr>
        <w:t>:</w:t>
      </w:r>
      <w:r w:rsidRPr="002C5959">
        <w:rPr>
          <w:szCs w:val="20"/>
        </w:rPr>
        <w:t xml:space="preserve"> Residuals vs fitted values showing no systematic patterns. </w:t>
      </w:r>
    </w:p>
    <w:p w14:paraId="412F2CAF" w14:textId="77777777" w:rsidR="003D4DB2" w:rsidRDefault="003D4DB2" w:rsidP="003D4DB2">
      <w:pPr>
        <w:pStyle w:val="Caption"/>
        <w:rPr>
          <w:szCs w:val="20"/>
        </w:rPr>
      </w:pPr>
      <w:r w:rsidRPr="002C5959">
        <w:rPr>
          <w:b/>
          <w:bCs/>
          <w:szCs w:val="20"/>
        </w:rPr>
        <w:t>B:</w:t>
      </w:r>
      <w:r w:rsidRPr="002C5959">
        <w:rPr>
          <w:szCs w:val="20"/>
        </w:rPr>
        <w:t xml:space="preserve"> Normal Q–Q plot indicating approximate normality of residuals. </w:t>
      </w:r>
    </w:p>
    <w:p w14:paraId="49D21BC7" w14:textId="77777777" w:rsidR="003D4DB2" w:rsidRDefault="003D4DB2" w:rsidP="003D4DB2">
      <w:pPr>
        <w:pStyle w:val="Caption"/>
        <w:rPr>
          <w:szCs w:val="20"/>
        </w:rPr>
      </w:pPr>
      <w:r w:rsidRPr="002C5959">
        <w:rPr>
          <w:szCs w:val="20"/>
        </w:rPr>
        <w:t>Together, these diagnostics suggest that model assumptions are reasonably met.</w:t>
      </w:r>
    </w:p>
    <w:p w14:paraId="59BAC7FC" w14:textId="77777777" w:rsidR="002C5959" w:rsidRPr="002C5959" w:rsidRDefault="002C5959" w:rsidP="002C5959"/>
    <w:p w14:paraId="7FA687E8" w14:textId="6ED80D7C" w:rsidR="001A7C0F" w:rsidRPr="00D4791E" w:rsidRDefault="001D3E2D" w:rsidP="001D3E2D">
      <w:r>
        <w:rPr>
          <w:noProof/>
        </w:rPr>
        <w:lastRenderedPageBreak/>
        <w:drawing>
          <wp:inline distT="0" distB="0" distL="0" distR="0" wp14:anchorId="1DB8D32C" wp14:editId="7257A3B7">
            <wp:extent cx="5731510" cy="5731510"/>
            <wp:effectExtent l="0" t="0" r="0" b="0"/>
            <wp:docPr id="7482258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225833" name="Picture 7482258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2B8D900" w14:textId="191B109C" w:rsidR="001A7C0F" w:rsidRPr="00397C5F" w:rsidRDefault="001A7C0F" w:rsidP="001A7C0F">
      <w:pPr>
        <w:pStyle w:val="Caption"/>
      </w:pPr>
      <w:r w:rsidRPr="00D4791E">
        <w:t xml:space="preserve">Figure </w:t>
      </w:r>
      <w:r w:rsidR="001D3E2D">
        <w:t>S</w:t>
      </w:r>
      <w:fldSimple w:instr=" SEQ Supplemental_Figure \* ARABIC ">
        <w:r w:rsidR="003D4DB2">
          <w:rPr>
            <w:noProof/>
          </w:rPr>
          <w:t>3</w:t>
        </w:r>
      </w:fldSimple>
      <w:r w:rsidRPr="00D4791E">
        <w:t xml:space="preserve"> </w:t>
      </w:r>
      <w:r>
        <w:t>–</w:t>
      </w:r>
      <w:r w:rsidRPr="00D4791E">
        <w:t xml:space="preserve"> </w:t>
      </w:r>
      <w:r>
        <w:t>Mass and organic carbon (OC) recovery distributions (%) for the Na-HMP and US450 extraction methods.</w:t>
      </w:r>
    </w:p>
    <w:p w14:paraId="7869A971" w14:textId="77777777" w:rsidR="001A7C0F" w:rsidRDefault="001A7C0F" w:rsidP="001A7C0F">
      <w:pPr>
        <w:pStyle w:val="Caption"/>
      </w:pPr>
      <w:r>
        <w:t xml:space="preserve">The top panel shows </w:t>
      </w:r>
      <w:r>
        <w:rPr>
          <w:b/>
        </w:rPr>
        <w:t>mass recovery</w:t>
      </w:r>
      <w:r>
        <w:t xml:space="preserve">, and the bottom panel shows </w:t>
      </w:r>
      <w:r>
        <w:rPr>
          <w:b/>
        </w:rPr>
        <w:t>OC recovery</w:t>
      </w:r>
      <w:r>
        <w:t xml:space="preserve"> across five sites.</w:t>
      </w:r>
    </w:p>
    <w:p w14:paraId="08964918" w14:textId="77777777" w:rsidR="001A7C0F" w:rsidRDefault="001A7C0F" w:rsidP="001A7C0F">
      <w:pPr>
        <w:pStyle w:val="Caption"/>
      </w:pPr>
      <w:bookmarkStart w:id="1" w:name="_heading=h.okiquz358ui6" w:colFirst="0" w:colLast="0"/>
      <w:bookmarkEnd w:id="1"/>
      <w:r>
        <w:t>Boxplots display the median (center line) and interquartile range (25th–75th percentiles).</w:t>
      </w:r>
    </w:p>
    <w:p w14:paraId="087EC6B5" w14:textId="77777777" w:rsidR="001A7C0F" w:rsidRDefault="001A7C0F" w:rsidP="001A7C0F">
      <w:pPr>
        <w:pStyle w:val="Caption"/>
      </w:pPr>
      <w:bookmarkStart w:id="2" w:name="_heading=h.svid82on9bqz" w:colFirst="0" w:colLast="0"/>
      <w:bookmarkEnd w:id="2"/>
      <w:r>
        <w:t>Individual dots represent replicate measurements, illustrating sample variability and potential outliers</w:t>
      </w:r>
    </w:p>
    <w:p w14:paraId="0299CEF2" w14:textId="77777777" w:rsidR="001A7C0F" w:rsidRDefault="001A7C0F" w:rsidP="001A7C0F">
      <w:pPr>
        <w:pStyle w:val="Caption"/>
      </w:pPr>
      <w:r>
        <w:t>Code in brackets refers to texture class (S = sand, SL = sandy loam, SiL = silt loam, CL = clay loam)</w:t>
      </w:r>
    </w:p>
    <w:p w14:paraId="27149230" w14:textId="26198830" w:rsidR="000D6F9A" w:rsidRPr="000D6F9A" w:rsidRDefault="00AE17B5" w:rsidP="000D6F9A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739A4B9" wp14:editId="1193E8D3">
            <wp:extent cx="5731510" cy="4298950"/>
            <wp:effectExtent l="0" t="0" r="0" b="6350"/>
            <wp:docPr id="944281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281164" name="Picture 94428116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08532" w14:textId="4E2C8316" w:rsidR="001A7C0F" w:rsidRDefault="001A7C0F" w:rsidP="001A7C0F">
      <w:pPr>
        <w:pStyle w:val="Caption"/>
      </w:pPr>
      <w:r w:rsidRPr="00D4791E">
        <w:t xml:space="preserve">Figure </w:t>
      </w:r>
      <w:r w:rsidR="00FA4CBF">
        <w:t>S</w:t>
      </w:r>
      <w:fldSimple w:instr=" SEQ Supplemental_Figure \* ARABIC ">
        <w:r w:rsidR="003D4DB2">
          <w:rPr>
            <w:noProof/>
          </w:rPr>
          <w:t>4</w:t>
        </w:r>
      </w:fldSimple>
      <w:r w:rsidRPr="00D4791E">
        <w:t xml:space="preserve"> </w:t>
      </w:r>
      <w:r>
        <w:t>–</w:t>
      </w:r>
      <w:r w:rsidRPr="00D4791E">
        <w:t xml:space="preserve"> </w:t>
      </w:r>
      <w:r w:rsidR="004A28D2" w:rsidRPr="004A28D2">
        <w:t>The effect size (Hedges' g) across five sites, comparing the differences in OC recovery between methods.</w:t>
      </w:r>
    </w:p>
    <w:p w14:paraId="655285DC" w14:textId="77777777" w:rsidR="001A7C0F" w:rsidRDefault="001A7C0F" w:rsidP="001A7C0F">
      <w:pPr>
        <w:pStyle w:val="Caption"/>
      </w:pPr>
      <w:r>
        <w:t>The dashed lines indicate commonly used thresholds for small (0.2), medium (0.5), and large (0.8) effect sizes.</w:t>
      </w:r>
    </w:p>
    <w:p w14:paraId="494CF4BC" w14:textId="1340BCCC" w:rsidR="00BD7278" w:rsidRDefault="001A7C0F" w:rsidP="00340F60">
      <w:pPr>
        <w:pStyle w:val="Caption"/>
        <w:tabs>
          <w:tab w:val="right" w:pos="9026"/>
        </w:tabs>
      </w:pPr>
      <w:r>
        <w:tab/>
      </w:r>
    </w:p>
    <w:p w14:paraId="2B25FA16" w14:textId="77777777" w:rsidR="006444F4" w:rsidRDefault="00BD7278" w:rsidP="006444F4">
      <w:pPr>
        <w:keepNext/>
      </w:pPr>
      <w:r>
        <w:rPr>
          <w:noProof/>
        </w:rPr>
        <w:lastRenderedPageBreak/>
        <w:drawing>
          <wp:inline distT="0" distB="0" distL="0" distR="0" wp14:anchorId="7BE02F68" wp14:editId="209F1275">
            <wp:extent cx="5731510" cy="4298950"/>
            <wp:effectExtent l="0" t="0" r="0" b="6350"/>
            <wp:docPr id="27310105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101052" name="Picture 27310105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0176D" w14:textId="1B92D875" w:rsidR="00635A93" w:rsidRPr="00635A93" w:rsidRDefault="006444F4" w:rsidP="00340F60">
      <w:pPr>
        <w:pStyle w:val="Caption"/>
      </w:pPr>
      <w:r w:rsidRPr="00635A93">
        <w:t>Figure S</w:t>
      </w:r>
      <w:fldSimple w:instr=" SEQ Supplemental_Figure \* ARABIC ">
        <w:r w:rsidR="003D4DB2">
          <w:rPr>
            <w:noProof/>
          </w:rPr>
          <w:t>5</w:t>
        </w:r>
      </w:fldSimple>
      <w:r w:rsidR="00340F60" w:rsidRPr="00635A93">
        <w:rPr>
          <w:noProof/>
        </w:rPr>
        <w:t xml:space="preserve"> -</w:t>
      </w:r>
      <w:r w:rsidR="00340F60" w:rsidRPr="00635A93">
        <w:rPr>
          <w:szCs w:val="20"/>
        </w:rPr>
        <w:t xml:space="preserve"> </w:t>
      </w:r>
      <w:r w:rsidR="00635A93" w:rsidRPr="00635A93">
        <w:t>Site-specific OC contributions (mg g</w:t>
      </w:r>
      <w:r w:rsidR="00635A93" w:rsidRPr="00635A93">
        <w:rPr>
          <w:rFonts w:ascii="Cambria Math" w:hAnsi="Cambria Math" w:cs="Cambria Math"/>
        </w:rPr>
        <w:t>⁻</w:t>
      </w:r>
      <w:r w:rsidR="00635A93" w:rsidRPr="00635A93">
        <w:t xml:space="preserve">¹ soil) of POM and MAOM under Na-HMP and US450. </w:t>
      </w:r>
    </w:p>
    <w:p w14:paraId="4A0E15D8" w14:textId="49714CA5" w:rsidR="00340F60" w:rsidRPr="00635A93" w:rsidRDefault="00635A93" w:rsidP="00340F60">
      <w:pPr>
        <w:pStyle w:val="Caption"/>
      </w:pPr>
      <w:r w:rsidRPr="00635A93">
        <w:t>Bars represent mean ± SD. The magnitude of these differences varied significantly among sites (method × fraction × site interaction: p &lt; 0.001</w:t>
      </w:r>
      <w:r w:rsidR="004A28D2">
        <w:t>).</w:t>
      </w:r>
    </w:p>
    <w:p w14:paraId="6CA431AE" w14:textId="6AD9DEAF" w:rsidR="006A4121" w:rsidRDefault="00340F60" w:rsidP="006A4121">
      <w:pPr>
        <w:pStyle w:val="Caption"/>
      </w:pPr>
      <w:r w:rsidRPr="00635A93">
        <w:t>Code in brackets refers to texture class (S = sand, SL = sandy loam, SiL = silt loam, CL = clay loam)</w:t>
      </w:r>
    </w:p>
    <w:p w14:paraId="04A8E60D" w14:textId="7B2013C8" w:rsidR="00BD7278" w:rsidRPr="003D4DB2" w:rsidRDefault="006A4121" w:rsidP="006A4121">
      <w:pPr>
        <w:spacing w:after="160" w:line="278" w:lineRule="auto"/>
        <w:jc w:val="left"/>
        <w:rPr>
          <w:iCs/>
          <w:sz w:val="20"/>
          <w:szCs w:val="18"/>
        </w:rPr>
      </w:pPr>
      <w:r>
        <w:rPr>
          <w:szCs w:val="20"/>
        </w:rPr>
        <w:br w:type="page"/>
      </w:r>
    </w:p>
    <w:p w14:paraId="55248E84" w14:textId="77777777" w:rsidR="006444F4" w:rsidRDefault="00BD7278" w:rsidP="006444F4">
      <w:pPr>
        <w:keepNext/>
      </w:pPr>
      <w:r>
        <w:rPr>
          <w:noProof/>
        </w:rPr>
        <w:lastRenderedPageBreak/>
        <w:drawing>
          <wp:inline distT="0" distB="0" distL="0" distR="0" wp14:anchorId="067DA7BB" wp14:editId="10D6EF17">
            <wp:extent cx="5731510" cy="2865755"/>
            <wp:effectExtent l="0" t="0" r="0" b="4445"/>
            <wp:docPr id="11636510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651079" name="Picture 116365107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629A1" w14:textId="03F79F74" w:rsidR="006444F4" w:rsidRPr="00FA0C93" w:rsidRDefault="006444F4" w:rsidP="006444F4">
      <w:pPr>
        <w:pStyle w:val="Caption"/>
      </w:pPr>
      <w:bookmarkStart w:id="3" w:name="_Toc198902222"/>
      <w:r w:rsidRPr="00D4791E">
        <w:t xml:space="preserve">Figure </w:t>
      </w:r>
      <w:r>
        <w:t>S</w:t>
      </w:r>
      <w:fldSimple w:instr=" SEQ Supplemental_Figure \* ARABIC ">
        <w:r w:rsidR="003D4DB2">
          <w:rPr>
            <w:noProof/>
          </w:rPr>
          <w:t>6</w:t>
        </w:r>
      </w:fldSimple>
      <w:r>
        <w:t xml:space="preserve"> – </w:t>
      </w:r>
      <w:r>
        <w:rPr>
          <w:color w:val="000000"/>
          <w:szCs w:val="20"/>
        </w:rPr>
        <w:t xml:space="preserve">Boxplots illustrating the reproducibility of methods (CV of C (%)). </w:t>
      </w:r>
    </w:p>
    <w:p w14:paraId="3F080E70" w14:textId="18A40BA5" w:rsidR="006444F4" w:rsidRDefault="006444F4" w:rsidP="006444F4">
      <w:pPr>
        <w:pStyle w:val="Caption"/>
      </w:pPr>
      <w:r>
        <w:t>The left panel presents the distribution of CV (%) values across fractions. The right panel compares the CV (%) values between methods and data points for each method.</w:t>
      </w:r>
    </w:p>
    <w:bookmarkEnd w:id="3"/>
    <w:p w14:paraId="72A9AC07" w14:textId="331EC1F8" w:rsidR="00BD7278" w:rsidRPr="00BD7278" w:rsidRDefault="00BD7278" w:rsidP="006444F4">
      <w:pPr>
        <w:pStyle w:val="Caption"/>
      </w:pPr>
    </w:p>
    <w:sectPr w:rsidR="00BD7278" w:rsidRPr="00BD7278" w:rsidSect="001A7C0F">
      <w:pgSz w:w="11906" w:h="16838"/>
      <w:pgMar w:top="1440" w:right="1440" w:bottom="1440" w:left="1440" w:header="709" w:footer="709" w:gutter="0"/>
      <w:lnNumType w:countBy="1" w:restart="continuous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4EDCF" w14:textId="77777777" w:rsidR="006F1E57" w:rsidRDefault="006F1E57" w:rsidP="00397C39">
      <w:pPr>
        <w:spacing w:after="0" w:line="240" w:lineRule="auto"/>
      </w:pPr>
      <w:r>
        <w:separator/>
      </w:r>
    </w:p>
  </w:endnote>
  <w:endnote w:type="continuationSeparator" w:id="0">
    <w:p w14:paraId="2AAAACBA" w14:textId="77777777" w:rsidR="006F1E57" w:rsidRDefault="006F1E57" w:rsidP="00397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7F1BE" w14:textId="77777777" w:rsidR="006F1E57" w:rsidRDefault="006F1E57" w:rsidP="00397C39">
      <w:pPr>
        <w:spacing w:after="0" w:line="240" w:lineRule="auto"/>
      </w:pPr>
      <w:r>
        <w:separator/>
      </w:r>
    </w:p>
  </w:footnote>
  <w:footnote w:type="continuationSeparator" w:id="0">
    <w:p w14:paraId="2AF7EAA0" w14:textId="77777777" w:rsidR="006F1E57" w:rsidRDefault="006F1E57" w:rsidP="00397C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C0F"/>
    <w:rsid w:val="00003D1A"/>
    <w:rsid w:val="00007808"/>
    <w:rsid w:val="00025A06"/>
    <w:rsid w:val="00031061"/>
    <w:rsid w:val="00033807"/>
    <w:rsid w:val="00047FD6"/>
    <w:rsid w:val="000514B2"/>
    <w:rsid w:val="000655C4"/>
    <w:rsid w:val="000665A2"/>
    <w:rsid w:val="00067668"/>
    <w:rsid w:val="00081702"/>
    <w:rsid w:val="00083316"/>
    <w:rsid w:val="000843AD"/>
    <w:rsid w:val="000A2EA2"/>
    <w:rsid w:val="000B5996"/>
    <w:rsid w:val="000D4AF3"/>
    <w:rsid w:val="000D6F9A"/>
    <w:rsid w:val="000E415B"/>
    <w:rsid w:val="000F0B05"/>
    <w:rsid w:val="000F1652"/>
    <w:rsid w:val="000F2F04"/>
    <w:rsid w:val="0012017C"/>
    <w:rsid w:val="00132EBA"/>
    <w:rsid w:val="001332CB"/>
    <w:rsid w:val="001368E2"/>
    <w:rsid w:val="001406E6"/>
    <w:rsid w:val="00147E07"/>
    <w:rsid w:val="001530FB"/>
    <w:rsid w:val="00157AB5"/>
    <w:rsid w:val="00161B6F"/>
    <w:rsid w:val="00161BA2"/>
    <w:rsid w:val="00172194"/>
    <w:rsid w:val="001770C1"/>
    <w:rsid w:val="00181D1D"/>
    <w:rsid w:val="00187F91"/>
    <w:rsid w:val="0019085C"/>
    <w:rsid w:val="001A0D87"/>
    <w:rsid w:val="001A7C0F"/>
    <w:rsid w:val="001B1D29"/>
    <w:rsid w:val="001B7D9A"/>
    <w:rsid w:val="001C32BE"/>
    <w:rsid w:val="001D18B2"/>
    <w:rsid w:val="001D3E2D"/>
    <w:rsid w:val="001E066A"/>
    <w:rsid w:val="00217274"/>
    <w:rsid w:val="0022000A"/>
    <w:rsid w:val="00227A84"/>
    <w:rsid w:val="00236619"/>
    <w:rsid w:val="00244BAA"/>
    <w:rsid w:val="00250836"/>
    <w:rsid w:val="00251B7C"/>
    <w:rsid w:val="00257412"/>
    <w:rsid w:val="00260EC7"/>
    <w:rsid w:val="002638E0"/>
    <w:rsid w:val="00282107"/>
    <w:rsid w:val="00286E6D"/>
    <w:rsid w:val="00292083"/>
    <w:rsid w:val="0029312C"/>
    <w:rsid w:val="00293B3C"/>
    <w:rsid w:val="002A7A20"/>
    <w:rsid w:val="002A7AB9"/>
    <w:rsid w:val="002B13A9"/>
    <w:rsid w:val="002B2058"/>
    <w:rsid w:val="002C17A3"/>
    <w:rsid w:val="002C5959"/>
    <w:rsid w:val="002C7716"/>
    <w:rsid w:val="002D4712"/>
    <w:rsid w:val="002E384A"/>
    <w:rsid w:val="002F6F00"/>
    <w:rsid w:val="002F7558"/>
    <w:rsid w:val="00324B09"/>
    <w:rsid w:val="003351EC"/>
    <w:rsid w:val="00340F60"/>
    <w:rsid w:val="0035645D"/>
    <w:rsid w:val="003846CC"/>
    <w:rsid w:val="003868C3"/>
    <w:rsid w:val="00390E2E"/>
    <w:rsid w:val="00397057"/>
    <w:rsid w:val="00397C39"/>
    <w:rsid w:val="003B79F3"/>
    <w:rsid w:val="003C439B"/>
    <w:rsid w:val="003C6797"/>
    <w:rsid w:val="003D4DB2"/>
    <w:rsid w:val="003D7C73"/>
    <w:rsid w:val="003E2D38"/>
    <w:rsid w:val="003E7532"/>
    <w:rsid w:val="003F0975"/>
    <w:rsid w:val="003F450C"/>
    <w:rsid w:val="00400113"/>
    <w:rsid w:val="004017B0"/>
    <w:rsid w:val="004128D6"/>
    <w:rsid w:val="0042566D"/>
    <w:rsid w:val="00431B56"/>
    <w:rsid w:val="004458AC"/>
    <w:rsid w:val="00446A54"/>
    <w:rsid w:val="00456162"/>
    <w:rsid w:val="00465A5D"/>
    <w:rsid w:val="0047230D"/>
    <w:rsid w:val="0047393B"/>
    <w:rsid w:val="00491DF4"/>
    <w:rsid w:val="00494FB0"/>
    <w:rsid w:val="004A28D2"/>
    <w:rsid w:val="004A5E61"/>
    <w:rsid w:val="004A7F30"/>
    <w:rsid w:val="004B1F44"/>
    <w:rsid w:val="004C0DB3"/>
    <w:rsid w:val="004D32BB"/>
    <w:rsid w:val="004E3303"/>
    <w:rsid w:val="004E74F1"/>
    <w:rsid w:val="00500B4F"/>
    <w:rsid w:val="00501E79"/>
    <w:rsid w:val="005066D7"/>
    <w:rsid w:val="0051233C"/>
    <w:rsid w:val="005149B9"/>
    <w:rsid w:val="00522D6B"/>
    <w:rsid w:val="00523235"/>
    <w:rsid w:val="00531ECD"/>
    <w:rsid w:val="00543C85"/>
    <w:rsid w:val="00552023"/>
    <w:rsid w:val="0055449A"/>
    <w:rsid w:val="00557728"/>
    <w:rsid w:val="00561735"/>
    <w:rsid w:val="00570109"/>
    <w:rsid w:val="00584D43"/>
    <w:rsid w:val="005878E2"/>
    <w:rsid w:val="005C19DB"/>
    <w:rsid w:val="005C7C5A"/>
    <w:rsid w:val="005E728A"/>
    <w:rsid w:val="005F5088"/>
    <w:rsid w:val="00616CA9"/>
    <w:rsid w:val="006334E5"/>
    <w:rsid w:val="00635A93"/>
    <w:rsid w:val="006444F4"/>
    <w:rsid w:val="006570C7"/>
    <w:rsid w:val="00682874"/>
    <w:rsid w:val="006831BD"/>
    <w:rsid w:val="00690293"/>
    <w:rsid w:val="006977C6"/>
    <w:rsid w:val="006A0D82"/>
    <w:rsid w:val="006A4121"/>
    <w:rsid w:val="006C3517"/>
    <w:rsid w:val="006D4DA4"/>
    <w:rsid w:val="006E1BE6"/>
    <w:rsid w:val="006F1E57"/>
    <w:rsid w:val="00734C54"/>
    <w:rsid w:val="00740C37"/>
    <w:rsid w:val="007468C6"/>
    <w:rsid w:val="00752D4B"/>
    <w:rsid w:val="00752EE4"/>
    <w:rsid w:val="007535E3"/>
    <w:rsid w:val="00761644"/>
    <w:rsid w:val="00772F19"/>
    <w:rsid w:val="00781831"/>
    <w:rsid w:val="00784AFB"/>
    <w:rsid w:val="007A043E"/>
    <w:rsid w:val="007B085C"/>
    <w:rsid w:val="007B1A5C"/>
    <w:rsid w:val="007B48CD"/>
    <w:rsid w:val="007C38BF"/>
    <w:rsid w:val="007C5FD0"/>
    <w:rsid w:val="007D4850"/>
    <w:rsid w:val="007E33FB"/>
    <w:rsid w:val="007F7A01"/>
    <w:rsid w:val="00803C38"/>
    <w:rsid w:val="00811318"/>
    <w:rsid w:val="00817256"/>
    <w:rsid w:val="0083308E"/>
    <w:rsid w:val="00834190"/>
    <w:rsid w:val="008366F6"/>
    <w:rsid w:val="00840B29"/>
    <w:rsid w:val="0084609E"/>
    <w:rsid w:val="008545C4"/>
    <w:rsid w:val="008750D1"/>
    <w:rsid w:val="008774E4"/>
    <w:rsid w:val="00887A74"/>
    <w:rsid w:val="00887AC5"/>
    <w:rsid w:val="00896EDD"/>
    <w:rsid w:val="008A060A"/>
    <w:rsid w:val="008A249C"/>
    <w:rsid w:val="008B066E"/>
    <w:rsid w:val="008B3DF0"/>
    <w:rsid w:val="008C015E"/>
    <w:rsid w:val="008C2AB1"/>
    <w:rsid w:val="008C5872"/>
    <w:rsid w:val="008C5EA2"/>
    <w:rsid w:val="008D5568"/>
    <w:rsid w:val="008D7E4B"/>
    <w:rsid w:val="00931C37"/>
    <w:rsid w:val="00950D0A"/>
    <w:rsid w:val="00960335"/>
    <w:rsid w:val="0097144E"/>
    <w:rsid w:val="00992E0B"/>
    <w:rsid w:val="009A5371"/>
    <w:rsid w:val="009A7484"/>
    <w:rsid w:val="009B370E"/>
    <w:rsid w:val="009B4180"/>
    <w:rsid w:val="009B696D"/>
    <w:rsid w:val="009B72C2"/>
    <w:rsid w:val="009C5A32"/>
    <w:rsid w:val="009D20D6"/>
    <w:rsid w:val="009E07C2"/>
    <w:rsid w:val="009E1909"/>
    <w:rsid w:val="009E2BB9"/>
    <w:rsid w:val="009F34F5"/>
    <w:rsid w:val="009F3B3B"/>
    <w:rsid w:val="00A03609"/>
    <w:rsid w:val="00A05830"/>
    <w:rsid w:val="00A07862"/>
    <w:rsid w:val="00A26374"/>
    <w:rsid w:val="00A30B1A"/>
    <w:rsid w:val="00A40D20"/>
    <w:rsid w:val="00A41744"/>
    <w:rsid w:val="00A42E0C"/>
    <w:rsid w:val="00A46662"/>
    <w:rsid w:val="00A672F2"/>
    <w:rsid w:val="00A773F3"/>
    <w:rsid w:val="00A856E9"/>
    <w:rsid w:val="00A879FB"/>
    <w:rsid w:val="00A917D8"/>
    <w:rsid w:val="00A9378E"/>
    <w:rsid w:val="00A94CDE"/>
    <w:rsid w:val="00A960C8"/>
    <w:rsid w:val="00A97D4B"/>
    <w:rsid w:val="00AD3628"/>
    <w:rsid w:val="00AE17B5"/>
    <w:rsid w:val="00AE4AF9"/>
    <w:rsid w:val="00B10542"/>
    <w:rsid w:val="00B11857"/>
    <w:rsid w:val="00B30D67"/>
    <w:rsid w:val="00B37F90"/>
    <w:rsid w:val="00B45E79"/>
    <w:rsid w:val="00B653FF"/>
    <w:rsid w:val="00B7108D"/>
    <w:rsid w:val="00B77CC1"/>
    <w:rsid w:val="00B83585"/>
    <w:rsid w:val="00B87012"/>
    <w:rsid w:val="00B97BE2"/>
    <w:rsid w:val="00BA0614"/>
    <w:rsid w:val="00BA1E23"/>
    <w:rsid w:val="00BB6665"/>
    <w:rsid w:val="00BB6C73"/>
    <w:rsid w:val="00BC0BAF"/>
    <w:rsid w:val="00BD1328"/>
    <w:rsid w:val="00BD13E6"/>
    <w:rsid w:val="00BD7278"/>
    <w:rsid w:val="00BE188D"/>
    <w:rsid w:val="00BF521A"/>
    <w:rsid w:val="00C16BCE"/>
    <w:rsid w:val="00C170C4"/>
    <w:rsid w:val="00C20A9B"/>
    <w:rsid w:val="00C228C9"/>
    <w:rsid w:val="00C423B3"/>
    <w:rsid w:val="00C47A46"/>
    <w:rsid w:val="00C52FE2"/>
    <w:rsid w:val="00C73353"/>
    <w:rsid w:val="00CB60B1"/>
    <w:rsid w:val="00CD6B3E"/>
    <w:rsid w:val="00CE5B16"/>
    <w:rsid w:val="00CF3771"/>
    <w:rsid w:val="00D03E0F"/>
    <w:rsid w:val="00D13153"/>
    <w:rsid w:val="00D3154D"/>
    <w:rsid w:val="00D327F2"/>
    <w:rsid w:val="00D35AF3"/>
    <w:rsid w:val="00D42A23"/>
    <w:rsid w:val="00D47480"/>
    <w:rsid w:val="00D60583"/>
    <w:rsid w:val="00D60A44"/>
    <w:rsid w:val="00D624EF"/>
    <w:rsid w:val="00D72DE5"/>
    <w:rsid w:val="00D909DD"/>
    <w:rsid w:val="00D91594"/>
    <w:rsid w:val="00D93FEB"/>
    <w:rsid w:val="00DA4686"/>
    <w:rsid w:val="00DC3A4C"/>
    <w:rsid w:val="00DD311A"/>
    <w:rsid w:val="00DF6B32"/>
    <w:rsid w:val="00E07E03"/>
    <w:rsid w:val="00E100F9"/>
    <w:rsid w:val="00E25D5E"/>
    <w:rsid w:val="00E304B1"/>
    <w:rsid w:val="00E44D0E"/>
    <w:rsid w:val="00E457E9"/>
    <w:rsid w:val="00E61690"/>
    <w:rsid w:val="00E777B5"/>
    <w:rsid w:val="00E813DD"/>
    <w:rsid w:val="00E84732"/>
    <w:rsid w:val="00E86FBF"/>
    <w:rsid w:val="00EB0981"/>
    <w:rsid w:val="00EB40B9"/>
    <w:rsid w:val="00EB47C7"/>
    <w:rsid w:val="00EC2756"/>
    <w:rsid w:val="00EC7C44"/>
    <w:rsid w:val="00ED3E93"/>
    <w:rsid w:val="00ED48A7"/>
    <w:rsid w:val="00ED5566"/>
    <w:rsid w:val="00EF2CB4"/>
    <w:rsid w:val="00EF3288"/>
    <w:rsid w:val="00EF4EBC"/>
    <w:rsid w:val="00F0476A"/>
    <w:rsid w:val="00F07040"/>
    <w:rsid w:val="00F103F5"/>
    <w:rsid w:val="00F21D3F"/>
    <w:rsid w:val="00F230FD"/>
    <w:rsid w:val="00F234F5"/>
    <w:rsid w:val="00F262CC"/>
    <w:rsid w:val="00F47C24"/>
    <w:rsid w:val="00F56554"/>
    <w:rsid w:val="00F612E4"/>
    <w:rsid w:val="00F64C23"/>
    <w:rsid w:val="00F66C4D"/>
    <w:rsid w:val="00F82ACD"/>
    <w:rsid w:val="00F85C25"/>
    <w:rsid w:val="00F8745B"/>
    <w:rsid w:val="00F9008E"/>
    <w:rsid w:val="00F94AD8"/>
    <w:rsid w:val="00FA4A10"/>
    <w:rsid w:val="00FA4CBF"/>
    <w:rsid w:val="00FA51A4"/>
    <w:rsid w:val="00FB4122"/>
    <w:rsid w:val="00FE4D0B"/>
    <w:rsid w:val="00FE768A"/>
    <w:rsid w:val="00FF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EB5DC"/>
  <w15:chartTrackingRefBased/>
  <w15:docId w15:val="{5D1D0C5A-B776-9744-A923-C58DCF9C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C0F"/>
    <w:pPr>
      <w:spacing w:after="240" w:line="36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7C0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C0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C0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C0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C0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C0F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C0F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C0F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C0F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C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C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C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C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C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C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C0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C0F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C0F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C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C0F"/>
    <w:pPr>
      <w:spacing w:after="160" w:line="278" w:lineRule="auto"/>
      <w:ind w:left="720"/>
      <w:contextualSpacing/>
      <w:jc w:val="left"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1A7C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C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C0F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A7C0F"/>
    <w:pPr>
      <w:spacing w:line="240" w:lineRule="auto"/>
      <w:contextualSpacing/>
    </w:pPr>
    <w:rPr>
      <w:iCs/>
      <w:sz w:val="20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A7C0F"/>
  </w:style>
  <w:style w:type="paragraph" w:styleId="Header">
    <w:name w:val="header"/>
    <w:basedOn w:val="Normal"/>
    <w:link w:val="HeaderChar"/>
    <w:uiPriority w:val="99"/>
    <w:unhideWhenUsed/>
    <w:rsid w:val="00397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C3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397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C3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iorender.com" TargetMode="External"/><Relationship Id="rId12" Type="http://schemas.openxmlformats.org/officeDocument/2006/relationships/image" Target="media/image6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Ananda Ramos</dc:creator>
  <cp:keywords/>
  <dc:description/>
  <cp:lastModifiedBy>Ananda Haberler</cp:lastModifiedBy>
  <cp:revision>17</cp:revision>
  <dcterms:created xsi:type="dcterms:W3CDTF">2025-10-11T18:52:00Z</dcterms:created>
  <dcterms:modified xsi:type="dcterms:W3CDTF">2026-06-13T15:32:00Z</dcterms:modified>
</cp:coreProperties>
</file>