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8153D" w14:textId="77777777" w:rsidR="00382CF1" w:rsidRPr="008E6668" w:rsidRDefault="00382CF1" w:rsidP="00382CF1">
      <w:pPr>
        <w:rPr>
          <w:rFonts w:cs="Times New Roman"/>
          <w:b/>
          <w:bCs/>
          <w:sz w:val="28"/>
          <w:szCs w:val="28"/>
        </w:rPr>
      </w:pPr>
      <w:bookmarkStart w:id="0" w:name="_Hlk219535560"/>
      <w:bookmarkEnd w:id="0"/>
      <w:r w:rsidRPr="008E6668">
        <w:rPr>
          <w:rFonts w:cs="Times New Roman"/>
          <w:b/>
          <w:sz w:val="28"/>
          <w:szCs w:val="28"/>
        </w:rPr>
        <w:t>Supporting Information for</w:t>
      </w:r>
      <w:r w:rsidRPr="008E6668">
        <w:rPr>
          <w:rFonts w:cs="Times New Roman"/>
          <w:b/>
          <w:bCs/>
          <w:sz w:val="28"/>
          <w:szCs w:val="28"/>
        </w:rPr>
        <w:t xml:space="preserve"> </w:t>
      </w:r>
    </w:p>
    <w:p w14:paraId="7501B5D4" w14:textId="74FB9853" w:rsidR="00382CF1" w:rsidRPr="008E6668" w:rsidRDefault="001D7AD3" w:rsidP="00382CF1">
      <w:pPr>
        <w:rPr>
          <w:rFonts w:cs="Times New Roman"/>
        </w:rPr>
      </w:pPr>
      <w:r w:rsidRPr="008E6668">
        <w:rPr>
          <w:b/>
          <w:bCs/>
        </w:rPr>
        <w:t>Belowground fungal volatile exposure induces systemic metabolic reprogramming in poplar</w:t>
      </w:r>
    </w:p>
    <w:p w14:paraId="5DA96D1E" w14:textId="45D206D5" w:rsidR="00382CF1" w:rsidRPr="008E6668" w:rsidRDefault="00382CF1" w:rsidP="00382CF1">
      <w:pPr>
        <w:rPr>
          <w:rFonts w:cs="Times New Roman"/>
        </w:rPr>
      </w:pPr>
      <w:r w:rsidRPr="008E6668">
        <w:rPr>
          <w:rFonts w:cs="Times New Roman"/>
        </w:rPr>
        <w:t>Peiyuan Zhu</w:t>
      </w:r>
      <w:r w:rsidR="00EB20A3" w:rsidRPr="008E6668">
        <w:rPr>
          <w:rFonts w:cs="Times New Roman" w:hint="eastAsia"/>
          <w:vertAlign w:val="superscript"/>
        </w:rPr>
        <w:t>1</w:t>
      </w:r>
      <w:r w:rsidRPr="008E6668">
        <w:rPr>
          <w:rFonts w:cs="Times New Roman"/>
        </w:rPr>
        <w:t>, Ina Zimmer</w:t>
      </w:r>
      <w:r w:rsidR="00EB20A3" w:rsidRPr="008E6668">
        <w:rPr>
          <w:rFonts w:cs="Times New Roman" w:hint="eastAsia"/>
          <w:vertAlign w:val="superscript"/>
        </w:rPr>
        <w:t>1</w:t>
      </w:r>
      <w:r w:rsidRPr="008E6668">
        <w:rPr>
          <w:rFonts w:cs="Times New Roman"/>
        </w:rPr>
        <w:t>, Prasath Balaji Sivaprakasam Padmanaban</w:t>
      </w:r>
      <w:r w:rsidR="00EB20A3" w:rsidRPr="008E6668">
        <w:rPr>
          <w:rFonts w:cs="Times New Roman" w:hint="eastAsia"/>
          <w:vertAlign w:val="superscript"/>
        </w:rPr>
        <w:t>1</w:t>
      </w:r>
      <w:r w:rsidRPr="008E6668">
        <w:rPr>
          <w:rFonts w:cs="Times New Roman"/>
        </w:rPr>
        <w:t>, Maaria Rosenkranz</w:t>
      </w:r>
      <w:r w:rsidR="00D654D5" w:rsidRPr="008E6668">
        <w:rPr>
          <w:rFonts w:cs="Times New Roman" w:hint="eastAsia"/>
          <w:vertAlign w:val="superscript"/>
        </w:rPr>
        <w:t>1,2</w:t>
      </w:r>
      <w:r w:rsidRPr="008E6668">
        <w:rPr>
          <w:rFonts w:cs="Times New Roman"/>
        </w:rPr>
        <w:t>, Andrea Ghirardo</w:t>
      </w:r>
      <w:r w:rsidR="00EB20A3" w:rsidRPr="008E6668">
        <w:rPr>
          <w:rFonts w:cs="Times New Roman" w:hint="eastAsia"/>
          <w:vertAlign w:val="superscript"/>
        </w:rPr>
        <w:t>1</w:t>
      </w:r>
      <w:r w:rsidR="00FE6B95">
        <w:rPr>
          <w:rFonts w:cs="Times New Roman"/>
          <w:vertAlign w:val="superscript"/>
        </w:rPr>
        <w:t>,3</w:t>
      </w:r>
      <w:r w:rsidRPr="008E6668">
        <w:rPr>
          <w:rFonts w:cs="Times New Roman"/>
        </w:rPr>
        <w:t>, Jörg-Peter Schnitzler</w:t>
      </w:r>
      <w:r w:rsidR="00AE2103" w:rsidRPr="008E6668">
        <w:rPr>
          <w:rFonts w:cs="Times New Roman" w:hint="eastAsia"/>
          <w:vertAlign w:val="superscript"/>
        </w:rPr>
        <w:t>1</w:t>
      </w:r>
      <w:r w:rsidR="00FE6B95">
        <w:rPr>
          <w:rFonts w:cs="Times New Roman"/>
          <w:vertAlign w:val="superscript"/>
        </w:rPr>
        <w:t>,3,4</w:t>
      </w:r>
      <w:r w:rsidR="00AE2103" w:rsidRPr="008E6668">
        <w:rPr>
          <w:rFonts w:cs="Times New Roman" w:hint="eastAsia"/>
          <w:vertAlign w:val="superscript"/>
        </w:rPr>
        <w:t>*</w:t>
      </w:r>
    </w:p>
    <w:p w14:paraId="47CBEF57" w14:textId="77777777" w:rsidR="00382CF1" w:rsidRPr="008E6668" w:rsidRDefault="00382CF1" w:rsidP="00382CF1">
      <w:pPr>
        <w:rPr>
          <w:rFonts w:cs="Times New Roman"/>
        </w:rPr>
      </w:pPr>
    </w:p>
    <w:p w14:paraId="75A9B578" w14:textId="092F76FE" w:rsidR="00382CF1" w:rsidRPr="008E6668" w:rsidRDefault="006849CA" w:rsidP="00382CF1">
      <w:pPr>
        <w:rPr>
          <w:rFonts w:cs="Times New Roman"/>
        </w:rPr>
      </w:pPr>
      <w:r w:rsidRPr="008E6668">
        <w:rPr>
          <w:rFonts w:cs="Times New Roman" w:hint="eastAsia"/>
          <w:vertAlign w:val="superscript"/>
        </w:rPr>
        <w:t>1</w:t>
      </w:r>
      <w:r w:rsidR="00382CF1" w:rsidRPr="008E6668">
        <w:rPr>
          <w:rFonts w:cs="Times New Roman"/>
        </w:rPr>
        <w:t>Research Unit Environmental Simulation, Helmholtz Munich, Neuherberg, Germany</w:t>
      </w:r>
    </w:p>
    <w:p w14:paraId="0AA3A6C5" w14:textId="00EE33BA" w:rsidR="00382CF1" w:rsidRDefault="001A6242" w:rsidP="00382CF1">
      <w:pPr>
        <w:rPr>
          <w:rFonts w:cs="Times New Roman"/>
        </w:rPr>
      </w:pPr>
      <w:r w:rsidRPr="008E6668">
        <w:rPr>
          <w:rFonts w:cs="Times New Roman" w:hint="eastAsia"/>
          <w:vertAlign w:val="superscript"/>
        </w:rPr>
        <w:t>2</w:t>
      </w:r>
      <w:r w:rsidR="00382CF1" w:rsidRPr="008E6668">
        <w:rPr>
          <w:rFonts w:cs="Times New Roman"/>
        </w:rPr>
        <w:t>Institute of Plant Sciences, Ecology and Conservation Biology, University of Regensburg, Regensburg, Germany</w:t>
      </w:r>
    </w:p>
    <w:p w14:paraId="2941DA4A" w14:textId="7D406874" w:rsidR="00FE6B95" w:rsidRDefault="00FE6B95" w:rsidP="00FE6B95">
      <w:r>
        <w:rPr>
          <w:vertAlign w:val="superscript"/>
        </w:rPr>
        <w:t>3</w:t>
      </w:r>
      <w:bookmarkStart w:id="1" w:name="_GoBack"/>
      <w:bookmarkEnd w:id="1"/>
      <w:r>
        <w:t>Institute for Translational Metabolism Research, Helmholtz Diabetes Center, Helmholtz Munich / School of Medicine and Health, Technical University of Munich, Munich, Germany</w:t>
      </w:r>
    </w:p>
    <w:p w14:paraId="0ACC6843" w14:textId="5E601801" w:rsidR="00FE6B95" w:rsidRPr="008E6668" w:rsidRDefault="00FE6B95" w:rsidP="00FE6B95">
      <w:pPr>
        <w:rPr>
          <w:rFonts w:cs="Times New Roman"/>
        </w:rPr>
      </w:pPr>
      <w:r>
        <w:rPr>
          <w:vertAlign w:val="superscript"/>
        </w:rPr>
        <w:t>4</w:t>
      </w:r>
      <w:r>
        <w:t>Ecosystem Physiology, Faculty of Environment and Natural Resources, University Freiburg, Germany</w:t>
      </w:r>
    </w:p>
    <w:p w14:paraId="434195E1" w14:textId="77777777" w:rsidR="00382CF1" w:rsidRPr="008E6668" w:rsidRDefault="00382CF1" w:rsidP="00382CF1">
      <w:pPr>
        <w:rPr>
          <w:rFonts w:cs="Times New Roman"/>
        </w:rPr>
      </w:pPr>
    </w:p>
    <w:p w14:paraId="7D5419AC" w14:textId="7969A053" w:rsidR="00382CF1" w:rsidRPr="008E6668" w:rsidRDefault="006960D5" w:rsidP="00382CF1">
      <w:pPr>
        <w:rPr>
          <w:rFonts w:cs="Times New Roman"/>
        </w:rPr>
      </w:pPr>
      <w:r w:rsidRPr="008E6668">
        <w:rPr>
          <w:rFonts w:cs="Times New Roman" w:hint="eastAsia"/>
          <w:vertAlign w:val="superscript"/>
        </w:rPr>
        <w:t>*</w:t>
      </w:r>
      <w:r w:rsidR="00382CF1" w:rsidRPr="008E6668">
        <w:rPr>
          <w:rFonts w:cs="Times New Roman"/>
          <w:b/>
          <w:bCs/>
        </w:rPr>
        <w:t>Corresponding author:</w:t>
      </w:r>
      <w:r w:rsidR="00382CF1" w:rsidRPr="008E6668">
        <w:rPr>
          <w:rFonts w:cs="Times New Roman"/>
        </w:rPr>
        <w:t xml:space="preserve"> Jörg-Peter Schnitzler</w:t>
      </w:r>
    </w:p>
    <w:p w14:paraId="461FA910" w14:textId="79902A87" w:rsidR="00382CF1" w:rsidRPr="008E6668" w:rsidRDefault="00382CF1" w:rsidP="00382CF1">
      <w:r w:rsidRPr="008E6668">
        <w:rPr>
          <w:b/>
        </w:rPr>
        <w:t xml:space="preserve">Email: </w:t>
      </w:r>
      <w:r w:rsidRPr="008E6668">
        <w:rPr>
          <w:rFonts w:cs="Times New Roman"/>
        </w:rPr>
        <w:t>joergpeter.schnitzler@helmholtz-munich.de</w:t>
      </w:r>
    </w:p>
    <w:p w14:paraId="1564CB4F" w14:textId="77777777" w:rsidR="00382CF1" w:rsidRPr="008E6668" w:rsidRDefault="00382CF1" w:rsidP="00382CF1">
      <w:pPr>
        <w:rPr>
          <w:b/>
        </w:rPr>
      </w:pPr>
      <w:r w:rsidRPr="008E6668">
        <w:rPr>
          <w:b/>
        </w:rPr>
        <w:t>This PDF file includes:</w:t>
      </w:r>
    </w:p>
    <w:p w14:paraId="56D84607" w14:textId="77777777" w:rsidR="00382CF1" w:rsidRPr="008E6668" w:rsidRDefault="00382CF1" w:rsidP="00382CF1"/>
    <w:p w14:paraId="42035A74" w14:textId="1998C2BF" w:rsidR="00382CF1" w:rsidRPr="008E6668" w:rsidRDefault="00382CF1" w:rsidP="00382CF1">
      <w:pPr>
        <w:ind w:left="720"/>
      </w:pPr>
      <w:r w:rsidRPr="008E6668">
        <w:t xml:space="preserve">Figures S1 to </w:t>
      </w:r>
      <w:r w:rsidR="00DB1CCC" w:rsidRPr="008E6668">
        <w:t>S</w:t>
      </w:r>
      <w:r w:rsidR="00DB1CCC" w:rsidRPr="008E6668">
        <w:rPr>
          <w:rFonts w:hint="eastAsia"/>
        </w:rPr>
        <w:t>6</w:t>
      </w:r>
    </w:p>
    <w:p w14:paraId="15B1DACD" w14:textId="6AC4EAB5" w:rsidR="00382CF1" w:rsidRPr="008E6668" w:rsidRDefault="00382CF1" w:rsidP="00382CF1">
      <w:pPr>
        <w:ind w:left="720"/>
      </w:pPr>
      <w:r w:rsidRPr="008E6668">
        <w:t xml:space="preserve">Tables </w:t>
      </w:r>
      <w:r w:rsidRPr="008E6668">
        <w:rPr>
          <w:rFonts w:hint="eastAsia"/>
        </w:rPr>
        <w:t>S</w:t>
      </w:r>
      <w:r w:rsidR="00581DD9" w:rsidRPr="008E6668">
        <w:rPr>
          <w:rFonts w:hint="eastAsia"/>
        </w:rPr>
        <w:t>1</w:t>
      </w:r>
    </w:p>
    <w:p w14:paraId="02AF79DA" w14:textId="77777777" w:rsidR="00382CF1" w:rsidRPr="008E6668" w:rsidRDefault="00382CF1" w:rsidP="00382CF1">
      <w:pPr>
        <w:rPr>
          <w:rFonts w:cs="Times New Roman"/>
        </w:rPr>
      </w:pPr>
    </w:p>
    <w:p w14:paraId="166263AE" w14:textId="77777777" w:rsidR="00382CF1" w:rsidRPr="008E6668" w:rsidRDefault="00382CF1" w:rsidP="00382CF1">
      <w:pPr>
        <w:rPr>
          <w:rFonts w:cs="Times New Roman"/>
          <w:b/>
        </w:rPr>
      </w:pPr>
    </w:p>
    <w:p w14:paraId="47A599DD" w14:textId="77777777" w:rsidR="00382CF1" w:rsidRPr="008E6668" w:rsidRDefault="00382CF1" w:rsidP="00382CF1">
      <w:pPr>
        <w:rPr>
          <w:rFonts w:cs="Times New Roman"/>
          <w:b/>
        </w:rPr>
        <w:sectPr w:rsidR="00382CF1" w:rsidRPr="008E6668" w:rsidSect="00382CF1">
          <w:pgSz w:w="12240" w:h="15840"/>
          <w:pgMar w:top="1440" w:right="1797" w:bottom="1440" w:left="1797" w:header="720" w:footer="720" w:gutter="0"/>
          <w:lnNumType w:countBy="1" w:restart="continuous"/>
          <w:cols w:space="720"/>
          <w:docGrid w:linePitch="360"/>
        </w:sectPr>
      </w:pPr>
    </w:p>
    <w:p w14:paraId="67C7CCC7" w14:textId="77777777" w:rsidR="003D7A21" w:rsidRPr="008E6668" w:rsidRDefault="004C6AE8" w:rsidP="003D7A21">
      <w:r w:rsidRPr="008E6668">
        <w:rPr>
          <w:b/>
          <w:bCs/>
        </w:rPr>
        <w:lastRenderedPageBreak/>
        <w:t>Supplemental Figures and Tables</w:t>
      </w:r>
      <w:r w:rsidR="003D7A21" w:rsidRPr="008E6668">
        <w:t xml:space="preserve"> </w:t>
      </w:r>
    </w:p>
    <w:p w14:paraId="1F5E3B6F" w14:textId="0423AD9B" w:rsidR="003D7A21" w:rsidRPr="008E6668" w:rsidRDefault="003D7A21" w:rsidP="003D7A21">
      <w:r w:rsidRPr="008E6668">
        <w:t>Supplemental figure S1</w:t>
      </w:r>
    </w:p>
    <w:p w14:paraId="21DE8C6C" w14:textId="26001E8A" w:rsidR="00382CF1" w:rsidRPr="008E6668" w:rsidRDefault="0090103D" w:rsidP="00382CF1">
      <w:pPr>
        <w:jc w:val="center"/>
        <w:rPr>
          <w:rFonts w:cs="Times New Roman"/>
        </w:rPr>
      </w:pPr>
      <w:r w:rsidRPr="008E6668">
        <w:rPr>
          <w:rFonts w:cs="Times New Roman"/>
          <w:noProof/>
          <w:lang w:val="en-IN" w:eastAsia="en-IN"/>
        </w:rPr>
        <w:drawing>
          <wp:inline distT="0" distB="0" distL="0" distR="0" wp14:anchorId="7555A7C6" wp14:editId="1A1E84CC">
            <wp:extent cx="5062028" cy="7289321"/>
            <wp:effectExtent l="0" t="0" r="5715" b="6985"/>
            <wp:docPr id="830592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97544" cy="7340464"/>
                    </a:xfrm>
                    <a:prstGeom prst="rect">
                      <a:avLst/>
                    </a:prstGeom>
                    <a:noFill/>
                    <a:ln>
                      <a:noFill/>
                    </a:ln>
                  </pic:spPr>
                </pic:pic>
              </a:graphicData>
            </a:graphic>
          </wp:inline>
        </w:drawing>
      </w:r>
    </w:p>
    <w:p w14:paraId="71BDDD94" w14:textId="77777777" w:rsidR="00382CF1" w:rsidRPr="008E6668" w:rsidRDefault="00382CF1" w:rsidP="00382CF1">
      <w:pPr>
        <w:rPr>
          <w:rFonts w:cs="Times New Roman"/>
          <w:b/>
          <w:bCs/>
        </w:rPr>
      </w:pPr>
      <w:r w:rsidRPr="008E6668">
        <w:rPr>
          <w:rFonts w:cs="Times New Roman"/>
          <w:b/>
          <w:bCs/>
        </w:rPr>
        <w:lastRenderedPageBreak/>
        <w:t>Figure S1. Multivariate visualisation of feature profiles in poplar tissues following root exposure to fungal VOCs.</w:t>
      </w:r>
    </w:p>
    <w:p w14:paraId="1BEA6882" w14:textId="1114271A" w:rsidR="00382CF1" w:rsidRPr="008E6668" w:rsidRDefault="00382CF1" w:rsidP="00382CF1">
      <w:pPr>
        <w:rPr>
          <w:rFonts w:cs="Times New Roman"/>
        </w:rPr>
      </w:pPr>
      <w:r w:rsidRPr="008E6668">
        <w:rPr>
          <w:rFonts w:cs="Times New Roman"/>
        </w:rPr>
        <w:t xml:space="preserve">Dimensionality reduction analyses of feature profiles in root (left column) and leaf (right column) tissues using three complementary approaches. (a, b) Principal Component Analysis (PCA) score plots </w:t>
      </w:r>
      <w:r w:rsidR="00932D4D" w:rsidRPr="008E6668">
        <w:rPr>
          <w:rFonts w:cs="Times New Roman"/>
        </w:rPr>
        <w:t>of the preprocessed biological-sample feature profiles, showing sample distribution along PC1 and PC2,</w:t>
      </w:r>
      <w:r w:rsidRPr="008E6668">
        <w:rPr>
          <w:rFonts w:cs="Times New Roman"/>
        </w:rPr>
        <w:t xml:space="preserve"> with variance explained indicated on each axis. (c, d) Uniform Manifold Approximation and Projection (UMAP) plots preserving local neighbourhood structure. (e, f) Non-metric Multidimensional Scaling (NMDS) ordination based on Euclidean distance of scaled data; stress values are indicated. Colours represent treatment groups: Control (blue), </w:t>
      </w:r>
      <w:r w:rsidRPr="008E6668">
        <w:rPr>
          <w:rFonts w:cs="Times New Roman"/>
          <w:i/>
          <w:iCs/>
        </w:rPr>
        <w:t>H. annosum</w:t>
      </w:r>
      <w:r w:rsidRPr="008E6668">
        <w:rPr>
          <w:rFonts w:cs="Times New Roman"/>
        </w:rPr>
        <w:t xml:space="preserve"> (pink), </w:t>
      </w:r>
      <w:r w:rsidRPr="008E6668">
        <w:rPr>
          <w:rFonts w:cs="Times New Roman"/>
          <w:i/>
          <w:iCs/>
        </w:rPr>
        <w:t>L. bicolor</w:t>
      </w:r>
      <w:r w:rsidRPr="008E6668">
        <w:rPr>
          <w:rFonts w:cs="Times New Roman"/>
        </w:rPr>
        <w:t xml:space="preserve"> (green), and </w:t>
      </w:r>
      <w:r w:rsidRPr="008E6668">
        <w:rPr>
          <w:rFonts w:cs="Times New Roman"/>
          <w:i/>
          <w:iCs/>
        </w:rPr>
        <w:t>P. placenta</w:t>
      </w:r>
      <w:r w:rsidRPr="008E6668">
        <w:rPr>
          <w:rFonts w:cs="Times New Roman"/>
        </w:rPr>
        <w:t xml:space="preserve"> (yellow). Sample labels indicate treatment and replicate number.</w:t>
      </w:r>
    </w:p>
    <w:p w14:paraId="59F958B7" w14:textId="77777777" w:rsidR="00944E68" w:rsidRPr="008E6668" w:rsidRDefault="00382CF1" w:rsidP="00382CF1">
      <w:r w:rsidRPr="008E6668">
        <w:rPr>
          <w:rFonts w:cs="Times New Roman"/>
        </w:rPr>
        <w:br w:type="page"/>
      </w:r>
      <w:r w:rsidR="00E40893" w:rsidRPr="008E6668">
        <w:rPr>
          <w:rFonts w:cs="Times New Roman" w:hint="eastAsia"/>
        </w:rPr>
        <w:lastRenderedPageBreak/>
        <w:t xml:space="preserve"> </w:t>
      </w:r>
      <w:r w:rsidR="003D7A21" w:rsidRPr="008E6668">
        <w:t>Supplemental figure S</w:t>
      </w:r>
      <w:r w:rsidR="003D7A21" w:rsidRPr="008E6668">
        <w:rPr>
          <w:rFonts w:hint="eastAsia"/>
        </w:rPr>
        <w:t>2</w:t>
      </w:r>
    </w:p>
    <w:p w14:paraId="0AB812E1" w14:textId="6DC5D7EC" w:rsidR="00476BCF" w:rsidRPr="008E6668" w:rsidRDefault="00944E68" w:rsidP="00382CF1">
      <w:r w:rsidRPr="008E6668">
        <w:rPr>
          <w:rFonts w:hint="eastAsia"/>
          <w:noProof/>
          <w:lang w:val="en-IN" w:eastAsia="en-IN"/>
        </w:rPr>
        <w:drawing>
          <wp:inline distT="0" distB="0" distL="0" distR="0" wp14:anchorId="4722D75F" wp14:editId="506FCAFD">
            <wp:extent cx="5486400" cy="5400040"/>
            <wp:effectExtent l="0" t="0" r="0" b="0"/>
            <wp:docPr id="6274916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5400040"/>
                    </a:xfrm>
                    <a:prstGeom prst="rect">
                      <a:avLst/>
                    </a:prstGeom>
                    <a:noFill/>
                    <a:ln>
                      <a:noFill/>
                    </a:ln>
                  </pic:spPr>
                </pic:pic>
              </a:graphicData>
            </a:graphic>
          </wp:inline>
        </w:drawing>
      </w:r>
    </w:p>
    <w:p w14:paraId="59CAB432" w14:textId="5080E3F3" w:rsidR="00944E68" w:rsidRPr="008E6668" w:rsidRDefault="00AD1087" w:rsidP="00AD1087">
      <w:r w:rsidRPr="008E6668">
        <w:rPr>
          <w:b/>
          <w:bCs/>
        </w:rPr>
        <w:t>Figure S2. Ranked variable importance in projection (VIP) scores from the OPLS-DA models of root and leaf metabolomes.</w:t>
      </w:r>
      <w:r w:rsidRPr="008E6668">
        <w:t xml:space="preserve"> Mass features were ranked in descending order according to their VIP scores for root (a) and leaf (b) tissues. Dark green indicates features with VIP &gt; 1, whereas light green indicates features with VIP ≤ 1. The horizontal dashed line indicates the VIP = 1 threshold used for subsequent feature selection.</w:t>
      </w:r>
    </w:p>
    <w:p w14:paraId="4AFC941E" w14:textId="4DCD588B" w:rsidR="00476BCF" w:rsidRPr="008E6668" w:rsidRDefault="00476BCF">
      <w:pPr>
        <w:jc w:val="left"/>
      </w:pPr>
      <w:r w:rsidRPr="008E6668">
        <w:br w:type="page"/>
      </w:r>
    </w:p>
    <w:p w14:paraId="6F3319AE" w14:textId="5CDE6BC0" w:rsidR="00476BCF" w:rsidRPr="008E6668" w:rsidRDefault="00476BCF" w:rsidP="00476BCF">
      <w:r w:rsidRPr="008E6668">
        <w:lastRenderedPageBreak/>
        <w:t>Supplemental figure S</w:t>
      </w:r>
      <w:r w:rsidR="00AD1087" w:rsidRPr="008E6668">
        <w:rPr>
          <w:rFonts w:hint="eastAsia"/>
        </w:rPr>
        <w:t>3</w:t>
      </w:r>
    </w:p>
    <w:p w14:paraId="0F74D9AE" w14:textId="058D4D26" w:rsidR="003D7A21" w:rsidRPr="008E6668" w:rsidRDefault="00CB6AC7" w:rsidP="00382CF1">
      <w:pPr>
        <w:rPr>
          <w:rFonts w:cs="Times New Roman"/>
        </w:rPr>
      </w:pPr>
      <w:r w:rsidRPr="008E6668">
        <w:rPr>
          <w:rFonts w:cs="Times New Roman"/>
          <w:noProof/>
          <w:lang w:val="en-IN" w:eastAsia="en-IN"/>
        </w:rPr>
        <w:drawing>
          <wp:inline distT="0" distB="0" distL="0" distR="0" wp14:anchorId="4DFE5321" wp14:editId="0871205D">
            <wp:extent cx="5486400" cy="3933825"/>
            <wp:effectExtent l="0" t="0" r="0" b="9525"/>
            <wp:docPr id="14899253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933825"/>
                    </a:xfrm>
                    <a:prstGeom prst="rect">
                      <a:avLst/>
                    </a:prstGeom>
                    <a:noFill/>
                    <a:ln>
                      <a:noFill/>
                    </a:ln>
                  </pic:spPr>
                </pic:pic>
              </a:graphicData>
            </a:graphic>
          </wp:inline>
        </w:drawing>
      </w:r>
    </w:p>
    <w:p w14:paraId="52B8F86F" w14:textId="68061778" w:rsidR="00382CF1" w:rsidRPr="008E6668" w:rsidRDefault="00382CF1" w:rsidP="00382CF1">
      <w:pPr>
        <w:rPr>
          <w:rFonts w:cs="Times New Roman"/>
          <w:b/>
          <w:bCs/>
        </w:rPr>
      </w:pPr>
      <w:r w:rsidRPr="008E6668">
        <w:rPr>
          <w:rFonts w:cs="Times New Roman"/>
          <w:b/>
          <w:bCs/>
        </w:rPr>
        <w:t xml:space="preserve">Figure </w:t>
      </w:r>
      <w:r w:rsidR="00AD1087" w:rsidRPr="008E6668">
        <w:rPr>
          <w:rFonts w:cs="Times New Roman"/>
          <w:b/>
          <w:bCs/>
        </w:rPr>
        <w:t>S</w:t>
      </w:r>
      <w:r w:rsidR="00AD1087" w:rsidRPr="008E6668">
        <w:rPr>
          <w:rFonts w:cs="Times New Roman" w:hint="eastAsia"/>
          <w:b/>
          <w:bCs/>
        </w:rPr>
        <w:t>3</w:t>
      </w:r>
      <w:r w:rsidRPr="008E6668">
        <w:rPr>
          <w:rFonts w:cs="Times New Roman"/>
          <w:b/>
          <w:bCs/>
        </w:rPr>
        <w:t>. Hierarchical clustering and overlap analysis of discriminant features in poplar tissues following root exposure to fungal VOCs.</w:t>
      </w:r>
    </w:p>
    <w:p w14:paraId="62F3795B" w14:textId="3D172786" w:rsidR="003D7A21" w:rsidRPr="008E6668" w:rsidRDefault="00382CF1" w:rsidP="00382CF1">
      <w:pPr>
        <w:rPr>
          <w:rFonts w:cs="Times New Roman"/>
        </w:rPr>
      </w:pPr>
      <w:r w:rsidRPr="008E6668">
        <w:rPr>
          <w:rFonts w:cs="Times New Roman"/>
        </w:rPr>
        <w:t>(a, d) Heatmaps showing Z-score normalised abundance of discriminant features (variable importance in projection, VIP &gt; 1) in root (a) and leaf (d) tissues. Hierarchical clustering (Euclidean distance, complete linkage) was applied to both samples (columns) and features (rows). Colour scale indicates relative abundance (red: elevated; blue: reduced). Top annotation bars indicate treatment groups. Left annotation bars show VIP scores (green gradient) and compound classifications based on Multidimensional Stoichiometric Compound Classification (MSCC). (b, c, e, f) Venn diagrams displaying the overlap of upregulated (log</w:t>
      </w:r>
      <w:r w:rsidRPr="008E6668">
        <w:rPr>
          <w:rFonts w:cs="Times New Roman"/>
          <w:vertAlign w:val="subscript"/>
        </w:rPr>
        <w:t>2</w:t>
      </w:r>
      <w:r w:rsidRPr="008E6668">
        <w:rPr>
          <w:rFonts w:cs="Times New Roman"/>
        </w:rPr>
        <w:t>FC &gt; 0.585) (b, e) and downregulated (log</w:t>
      </w:r>
      <w:r w:rsidRPr="008E6668">
        <w:rPr>
          <w:rFonts w:cs="Times New Roman"/>
          <w:vertAlign w:val="subscript"/>
        </w:rPr>
        <w:t>2</w:t>
      </w:r>
      <w:r w:rsidRPr="008E6668">
        <w:rPr>
          <w:rFonts w:cs="Times New Roman"/>
        </w:rPr>
        <w:t>FC &lt; -0.585) (c, f) features among treatments in root (b, c) and leaf (e, f) tissues.</w:t>
      </w:r>
    </w:p>
    <w:p w14:paraId="3C5406CA" w14:textId="77777777" w:rsidR="003D7A21" w:rsidRPr="008E6668" w:rsidRDefault="003D7A21">
      <w:pPr>
        <w:jc w:val="left"/>
        <w:rPr>
          <w:rFonts w:cs="Times New Roman"/>
        </w:rPr>
      </w:pPr>
      <w:r w:rsidRPr="008E6668">
        <w:rPr>
          <w:rFonts w:cs="Times New Roman"/>
        </w:rPr>
        <w:br w:type="page"/>
      </w:r>
    </w:p>
    <w:p w14:paraId="7E953551" w14:textId="61E213C1" w:rsidR="003D7A21" w:rsidRPr="008E6668" w:rsidRDefault="003D7A21" w:rsidP="003D7A21">
      <w:r w:rsidRPr="008E6668">
        <w:lastRenderedPageBreak/>
        <w:t xml:space="preserve">Supplemental figure </w:t>
      </w:r>
      <w:r w:rsidR="00AD1087" w:rsidRPr="008E6668">
        <w:t>S</w:t>
      </w:r>
      <w:r w:rsidR="00AD1087" w:rsidRPr="008E6668">
        <w:rPr>
          <w:rFonts w:hint="eastAsia"/>
        </w:rPr>
        <w:t>4</w:t>
      </w:r>
    </w:p>
    <w:p w14:paraId="31837665" w14:textId="77777777" w:rsidR="00382CF1" w:rsidRPr="008E6668" w:rsidRDefault="00382CF1" w:rsidP="00382CF1">
      <w:pPr>
        <w:rPr>
          <w:rFonts w:cs="Times New Roman"/>
        </w:rPr>
      </w:pPr>
      <w:r w:rsidRPr="008E6668">
        <w:rPr>
          <w:rFonts w:cs="Times New Roman"/>
          <w:noProof/>
          <w:lang w:val="en-IN" w:eastAsia="en-IN"/>
        </w:rPr>
        <w:drawing>
          <wp:inline distT="0" distB="0" distL="0" distR="0" wp14:anchorId="60F953F7" wp14:editId="2DB7D9D9">
            <wp:extent cx="5460521" cy="5286088"/>
            <wp:effectExtent l="0" t="0" r="6985" b="0"/>
            <wp:docPr id="1927924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5207" cy="5309986"/>
                    </a:xfrm>
                    <a:prstGeom prst="rect">
                      <a:avLst/>
                    </a:prstGeom>
                    <a:noFill/>
                    <a:ln>
                      <a:noFill/>
                    </a:ln>
                  </pic:spPr>
                </pic:pic>
              </a:graphicData>
            </a:graphic>
          </wp:inline>
        </w:drawing>
      </w:r>
    </w:p>
    <w:p w14:paraId="1B61CE78" w14:textId="391CD03F" w:rsidR="00382CF1" w:rsidRPr="008E6668" w:rsidRDefault="00382CF1" w:rsidP="00382CF1">
      <w:pPr>
        <w:rPr>
          <w:rFonts w:cs="Times New Roman"/>
          <w:b/>
          <w:bCs/>
        </w:rPr>
      </w:pPr>
      <w:r w:rsidRPr="008E6668">
        <w:rPr>
          <w:rFonts w:cs="Times New Roman"/>
          <w:b/>
          <w:bCs/>
        </w:rPr>
        <w:t xml:space="preserve">Figure </w:t>
      </w:r>
      <w:r w:rsidR="00AD1087" w:rsidRPr="008E6668">
        <w:rPr>
          <w:rFonts w:cs="Times New Roman"/>
          <w:b/>
          <w:bCs/>
        </w:rPr>
        <w:t>S</w:t>
      </w:r>
      <w:r w:rsidR="00AD1087" w:rsidRPr="008E6668">
        <w:rPr>
          <w:rFonts w:cs="Times New Roman" w:hint="eastAsia"/>
          <w:b/>
          <w:bCs/>
        </w:rPr>
        <w:t>4</w:t>
      </w:r>
      <w:r w:rsidRPr="008E6668">
        <w:rPr>
          <w:rFonts w:cs="Times New Roman"/>
          <w:b/>
          <w:bCs/>
        </w:rPr>
        <w:t>. Volcano plots of discriminant features in poplar tissues following root exposure to fungal VOCs.</w:t>
      </w:r>
    </w:p>
    <w:p w14:paraId="123A99E7" w14:textId="77777777" w:rsidR="00382CF1" w:rsidRPr="008E6668" w:rsidRDefault="00382CF1" w:rsidP="00382CF1">
      <w:pPr>
        <w:rPr>
          <w:rFonts w:cs="Times New Roman"/>
          <w:b/>
          <w:bCs/>
        </w:rPr>
      </w:pPr>
      <w:r w:rsidRPr="008E6668">
        <w:rPr>
          <w:rFonts w:cs="Times New Roman"/>
        </w:rPr>
        <w:t>Volcano plots displaying log</w:t>
      </w:r>
      <w:r w:rsidRPr="008E6668">
        <w:rPr>
          <w:rFonts w:cs="Times New Roman"/>
          <w:vertAlign w:val="subscript"/>
        </w:rPr>
        <w:t>2</w:t>
      </w:r>
      <w:r w:rsidRPr="008E6668">
        <w:rPr>
          <w:rFonts w:cs="Times New Roman"/>
        </w:rPr>
        <w:t>(fold change) versus – log</w:t>
      </w:r>
      <w:r w:rsidRPr="008E6668">
        <w:rPr>
          <w:rFonts w:cs="Times New Roman"/>
          <w:vertAlign w:val="subscript"/>
        </w:rPr>
        <w:t>10</w:t>
      </w:r>
      <w:r w:rsidRPr="008E6668">
        <w:rPr>
          <w:rFonts w:cs="Times New Roman"/>
        </w:rPr>
        <w:t xml:space="preserve"> (FDR-adjusted </w:t>
      </w:r>
      <w:r w:rsidRPr="008E6668">
        <w:rPr>
          <w:rFonts w:cs="Times New Roman"/>
          <w:i/>
          <w:iCs/>
        </w:rPr>
        <w:t>P</w:t>
      </w:r>
      <w:r w:rsidRPr="008E6668">
        <w:rPr>
          <w:rFonts w:cs="Times New Roman"/>
        </w:rPr>
        <w:t xml:space="preserve">-value) for discriminant features (VIP &gt; 1) in root (a-c) and leaf (d-f) tissues. Comparisons are shown for </w:t>
      </w:r>
      <w:r w:rsidRPr="008E6668">
        <w:rPr>
          <w:rFonts w:cs="Times New Roman"/>
          <w:i/>
          <w:iCs/>
        </w:rPr>
        <w:t>H. annosum</w:t>
      </w:r>
      <w:r w:rsidRPr="008E6668">
        <w:rPr>
          <w:rFonts w:cs="Times New Roman"/>
        </w:rPr>
        <w:t xml:space="preserve"> vs. Control (a, d), </w:t>
      </w:r>
      <w:r w:rsidRPr="008E6668">
        <w:rPr>
          <w:rFonts w:cs="Times New Roman"/>
          <w:i/>
          <w:iCs/>
        </w:rPr>
        <w:t>L. bicolor</w:t>
      </w:r>
      <w:r w:rsidRPr="008E6668">
        <w:rPr>
          <w:rFonts w:cs="Times New Roman"/>
        </w:rPr>
        <w:t xml:space="preserve"> vs. Control (b, e), and </w:t>
      </w:r>
      <w:r w:rsidRPr="008E6668">
        <w:rPr>
          <w:rFonts w:cs="Times New Roman"/>
          <w:i/>
          <w:iCs/>
        </w:rPr>
        <w:t>P. placenta</w:t>
      </w:r>
      <w:r w:rsidRPr="008E6668">
        <w:rPr>
          <w:rFonts w:cs="Times New Roman"/>
        </w:rPr>
        <w:t xml:space="preserve"> vs. Control (c, f). Vertical dashed lines indicate fold change thresholds (|log</w:t>
      </w:r>
      <w:r w:rsidRPr="008E6668">
        <w:rPr>
          <w:rFonts w:cs="Times New Roman"/>
          <w:vertAlign w:val="subscript"/>
        </w:rPr>
        <w:t>2</w:t>
      </w:r>
      <w:r w:rsidRPr="008E6668">
        <w:rPr>
          <w:rFonts w:cs="Times New Roman"/>
        </w:rPr>
        <w:t xml:space="preserve">FC| = 0.585); horizontal dashed lines indicate the significance threshold (FDR-adjusted </w:t>
      </w:r>
      <w:r w:rsidRPr="008E6668">
        <w:rPr>
          <w:rFonts w:cs="Times New Roman"/>
          <w:i/>
          <w:iCs/>
        </w:rPr>
        <w:t>P</w:t>
      </w:r>
      <w:r w:rsidRPr="008E6668">
        <w:rPr>
          <w:rFonts w:cs="Times New Roman"/>
        </w:rPr>
        <w:t xml:space="preserve"> &lt; 0.05). Red points represent differential features meeting both criteria; grey points indicate features not meeting one or both thresholds. Numbers denote feature identifiers.</w:t>
      </w:r>
    </w:p>
    <w:p w14:paraId="6D2EF142" w14:textId="77777777" w:rsidR="00382CF1" w:rsidRPr="008E6668" w:rsidRDefault="00382CF1" w:rsidP="00382CF1">
      <w:pPr>
        <w:rPr>
          <w:rFonts w:cs="Times New Roman"/>
        </w:rPr>
      </w:pPr>
      <w:r w:rsidRPr="008E6668">
        <w:rPr>
          <w:rFonts w:cs="Times New Roman"/>
        </w:rPr>
        <w:br w:type="page"/>
      </w:r>
    </w:p>
    <w:p w14:paraId="5D17D5DF" w14:textId="0AA14EF5" w:rsidR="003D7A21" w:rsidRPr="008E6668" w:rsidRDefault="003D7A21" w:rsidP="00382CF1">
      <w:r w:rsidRPr="008E6668">
        <w:lastRenderedPageBreak/>
        <w:t xml:space="preserve">Supplemental figure </w:t>
      </w:r>
      <w:r w:rsidR="00AD1087" w:rsidRPr="008E6668">
        <w:t>S</w:t>
      </w:r>
      <w:r w:rsidR="00AD1087" w:rsidRPr="008E6668">
        <w:rPr>
          <w:rFonts w:hint="eastAsia"/>
        </w:rPr>
        <w:t>5</w:t>
      </w:r>
    </w:p>
    <w:p w14:paraId="3CEA4F9D" w14:textId="770E7555" w:rsidR="00382CF1" w:rsidRPr="008E6668" w:rsidRDefault="003326E9" w:rsidP="00382CF1">
      <w:pPr>
        <w:rPr>
          <w:rFonts w:cs="Times New Roman"/>
        </w:rPr>
      </w:pPr>
      <w:r w:rsidRPr="008E6668">
        <w:rPr>
          <w:rFonts w:cs="Times New Roman"/>
          <w:noProof/>
          <w:lang w:val="en-IN" w:eastAsia="en-IN"/>
        </w:rPr>
        <w:drawing>
          <wp:inline distT="0" distB="0" distL="0" distR="0" wp14:anchorId="742FCBAF" wp14:editId="00B84521">
            <wp:extent cx="5477510" cy="4097655"/>
            <wp:effectExtent l="0" t="0" r="8890" b="0"/>
            <wp:docPr id="569114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7510" cy="4097655"/>
                    </a:xfrm>
                    <a:prstGeom prst="rect">
                      <a:avLst/>
                    </a:prstGeom>
                    <a:noFill/>
                    <a:ln>
                      <a:noFill/>
                    </a:ln>
                  </pic:spPr>
                </pic:pic>
              </a:graphicData>
            </a:graphic>
          </wp:inline>
        </w:drawing>
      </w:r>
    </w:p>
    <w:p w14:paraId="03FCFD66" w14:textId="695ECBDE" w:rsidR="00382CF1" w:rsidRPr="008E6668" w:rsidRDefault="00382CF1" w:rsidP="00382CF1">
      <w:pPr>
        <w:rPr>
          <w:rFonts w:cs="Times New Roman"/>
          <w:b/>
          <w:bCs/>
        </w:rPr>
      </w:pPr>
      <w:r w:rsidRPr="008E6668">
        <w:rPr>
          <w:rFonts w:cs="Times New Roman"/>
          <w:b/>
          <w:bCs/>
        </w:rPr>
        <w:t xml:space="preserve">Figure </w:t>
      </w:r>
      <w:r w:rsidR="00AD1087" w:rsidRPr="008E6668">
        <w:rPr>
          <w:rFonts w:cs="Times New Roman"/>
          <w:b/>
          <w:bCs/>
        </w:rPr>
        <w:t>S</w:t>
      </w:r>
      <w:r w:rsidR="00AD1087" w:rsidRPr="008E6668">
        <w:rPr>
          <w:rFonts w:cs="Times New Roman" w:hint="eastAsia"/>
          <w:b/>
          <w:bCs/>
        </w:rPr>
        <w:t>5</w:t>
      </w:r>
      <w:r w:rsidRPr="008E6668">
        <w:rPr>
          <w:rFonts w:cs="Times New Roman"/>
          <w:b/>
          <w:bCs/>
        </w:rPr>
        <w:t>. Van Krevelen diagrams of differential features in poplar tissues following root exposure to fungal VOCs.</w:t>
      </w:r>
    </w:p>
    <w:p w14:paraId="54290713" w14:textId="3B7B1437" w:rsidR="003D7A21" w:rsidRPr="008E6668" w:rsidRDefault="00382CF1" w:rsidP="00382CF1">
      <w:pPr>
        <w:rPr>
          <w:rFonts w:cs="Times New Roman"/>
        </w:rPr>
      </w:pPr>
      <w:r w:rsidRPr="008E6668">
        <w:rPr>
          <w:rFonts w:cs="Times New Roman"/>
        </w:rPr>
        <w:t>Van Krevelen plots displaying H/C versus O/C elemental ratios of differential features (VIP &gt; 1, |log</w:t>
      </w:r>
      <w:r w:rsidRPr="008E6668">
        <w:rPr>
          <w:rFonts w:cs="Times New Roman"/>
          <w:vertAlign w:val="subscript"/>
        </w:rPr>
        <w:t>2</w:t>
      </w:r>
      <w:r w:rsidRPr="008E6668">
        <w:rPr>
          <w:rFonts w:cs="Times New Roman"/>
        </w:rPr>
        <w:t xml:space="preserve">FC| &gt; 0.585, FDR-adjusted </w:t>
      </w:r>
      <w:r w:rsidRPr="008E6668">
        <w:rPr>
          <w:rFonts w:cs="Times New Roman"/>
          <w:i/>
          <w:iCs/>
        </w:rPr>
        <w:t>P</w:t>
      </w:r>
      <w:r w:rsidRPr="008E6668">
        <w:rPr>
          <w:rFonts w:cs="Times New Roman"/>
        </w:rPr>
        <w:t xml:space="preserve"> &lt; 0.05) in </w:t>
      </w:r>
      <w:r w:rsidR="00E64582" w:rsidRPr="008E6668">
        <w:rPr>
          <w:rFonts w:cs="Times New Roman"/>
        </w:rPr>
        <w:t>root</w:t>
      </w:r>
      <w:r w:rsidRPr="008E6668">
        <w:rPr>
          <w:rFonts w:cs="Times New Roman"/>
        </w:rPr>
        <w:t xml:space="preserve"> (a-c) and </w:t>
      </w:r>
      <w:r w:rsidR="00E64582" w:rsidRPr="008E6668">
        <w:rPr>
          <w:rFonts w:cs="Times New Roman" w:hint="eastAsia"/>
        </w:rPr>
        <w:t>leaf</w:t>
      </w:r>
      <w:r w:rsidR="00E64582" w:rsidRPr="008E6668">
        <w:rPr>
          <w:rFonts w:cs="Times New Roman"/>
        </w:rPr>
        <w:t xml:space="preserve"> </w:t>
      </w:r>
      <w:r w:rsidRPr="008E6668">
        <w:rPr>
          <w:rFonts w:cs="Times New Roman"/>
        </w:rPr>
        <w:t xml:space="preserve">(d-f) tissues. Panels show responses to </w:t>
      </w:r>
      <w:r w:rsidRPr="008E6668">
        <w:rPr>
          <w:rFonts w:cs="Times New Roman"/>
          <w:i/>
          <w:iCs/>
        </w:rPr>
        <w:t>H. annosum</w:t>
      </w:r>
      <w:r w:rsidRPr="008E6668">
        <w:rPr>
          <w:rFonts w:cs="Times New Roman"/>
        </w:rPr>
        <w:t xml:space="preserve"> (a, d), </w:t>
      </w:r>
      <w:r w:rsidRPr="008E6668">
        <w:rPr>
          <w:rFonts w:cs="Times New Roman"/>
          <w:i/>
          <w:iCs/>
        </w:rPr>
        <w:t>L. bicolor</w:t>
      </w:r>
      <w:r w:rsidRPr="008E6668">
        <w:rPr>
          <w:rFonts w:cs="Times New Roman"/>
        </w:rPr>
        <w:t xml:space="preserve"> (b, e), and </w:t>
      </w:r>
      <w:r w:rsidRPr="008E6668">
        <w:rPr>
          <w:rFonts w:cs="Times New Roman"/>
          <w:i/>
          <w:iCs/>
        </w:rPr>
        <w:t>P. placenta</w:t>
      </w:r>
      <w:r w:rsidRPr="008E6668">
        <w:rPr>
          <w:rFonts w:cs="Times New Roman"/>
        </w:rPr>
        <w:t xml:space="preserve"> (c, f). Node colours indicate compound classifications based on Multidimensional Stoichiometric Compound Classification (MSCC): carbohydrates (pink), lipids (yellow), proteins/peptides/amino acids (purple), secondary metabolites (cyan), and unknown compounds (grey). Node size reflects log₁₀-transformed feature abundance.</w:t>
      </w:r>
    </w:p>
    <w:p w14:paraId="1B91F0D9" w14:textId="2AA9EFE1" w:rsidR="003D7A21" w:rsidRPr="008E6668" w:rsidRDefault="00382CF1">
      <w:pPr>
        <w:jc w:val="left"/>
        <w:rPr>
          <w:rFonts w:cs="Times New Roman"/>
        </w:rPr>
      </w:pPr>
      <w:r w:rsidRPr="008E6668">
        <w:rPr>
          <w:rFonts w:cs="Times New Roman"/>
        </w:rPr>
        <w:br w:type="page"/>
      </w:r>
    </w:p>
    <w:p w14:paraId="5F7BC7B9" w14:textId="01E85BD5" w:rsidR="00382CF1" w:rsidRPr="008E6668" w:rsidRDefault="003D7A21" w:rsidP="00382CF1">
      <w:r w:rsidRPr="008E6668">
        <w:lastRenderedPageBreak/>
        <w:t xml:space="preserve">Supplemental figure </w:t>
      </w:r>
      <w:r w:rsidR="00AD1087" w:rsidRPr="008E6668">
        <w:t>S</w:t>
      </w:r>
      <w:r w:rsidR="00AD1087" w:rsidRPr="008E6668">
        <w:rPr>
          <w:rFonts w:hint="eastAsia"/>
        </w:rPr>
        <w:t>6</w:t>
      </w:r>
    </w:p>
    <w:p w14:paraId="48D1708D" w14:textId="77777777" w:rsidR="00382CF1" w:rsidRPr="008E6668" w:rsidRDefault="00382CF1" w:rsidP="00382CF1">
      <w:pPr>
        <w:keepNext/>
        <w:rPr>
          <w:rFonts w:cs="Times New Roman"/>
        </w:rPr>
      </w:pPr>
      <w:r w:rsidRPr="008E6668">
        <w:rPr>
          <w:rFonts w:cs="Times New Roman"/>
          <w:noProof/>
          <w:lang w:val="en-IN" w:eastAsia="en-IN"/>
        </w:rPr>
        <w:drawing>
          <wp:inline distT="0" distB="0" distL="0" distR="0" wp14:anchorId="720D25C9" wp14:editId="7D6F8C8C">
            <wp:extent cx="5490845" cy="4183137"/>
            <wp:effectExtent l="0" t="0" r="0" b="8255"/>
            <wp:docPr id="1066834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3637" cy="4208119"/>
                    </a:xfrm>
                    <a:prstGeom prst="rect">
                      <a:avLst/>
                    </a:prstGeom>
                    <a:noFill/>
                    <a:ln>
                      <a:noFill/>
                    </a:ln>
                  </pic:spPr>
                </pic:pic>
              </a:graphicData>
            </a:graphic>
          </wp:inline>
        </w:drawing>
      </w:r>
    </w:p>
    <w:p w14:paraId="25D7A226" w14:textId="4A17B4E6" w:rsidR="00382CF1" w:rsidRPr="008E6668" w:rsidRDefault="00382CF1" w:rsidP="00382CF1">
      <w:pPr>
        <w:rPr>
          <w:rFonts w:cs="Times New Roman"/>
        </w:rPr>
      </w:pPr>
      <w:r w:rsidRPr="008E6668">
        <w:rPr>
          <w:rFonts w:cs="Times New Roman"/>
          <w:b/>
          <w:bCs/>
        </w:rPr>
        <w:t xml:space="preserve">Figure </w:t>
      </w:r>
      <w:r w:rsidR="00AD1087" w:rsidRPr="008E6668">
        <w:rPr>
          <w:rFonts w:cs="Times New Roman"/>
          <w:b/>
          <w:bCs/>
        </w:rPr>
        <w:t>S</w:t>
      </w:r>
      <w:r w:rsidR="00AD1087" w:rsidRPr="008E6668">
        <w:rPr>
          <w:rFonts w:cs="Times New Roman" w:hint="eastAsia"/>
          <w:b/>
          <w:bCs/>
        </w:rPr>
        <w:t>6</w:t>
      </w:r>
      <w:r w:rsidRPr="008E6668">
        <w:rPr>
          <w:rFonts w:cs="Times New Roman"/>
          <w:b/>
          <w:bCs/>
        </w:rPr>
        <w:t xml:space="preserve">. Complete high-confidence feature response profiles grouped by treatment specificity. </w:t>
      </w:r>
      <w:r w:rsidRPr="008E6668">
        <w:rPr>
          <w:rFonts w:cs="Times New Roman"/>
        </w:rPr>
        <w:t>Boxplots displaying normalised abundance of all differentially regulated features (VIP &gt; 1, |log</w:t>
      </w:r>
      <w:r w:rsidRPr="008E6668">
        <w:rPr>
          <w:rFonts w:cs="Times New Roman"/>
          <w:vertAlign w:val="subscript"/>
        </w:rPr>
        <w:t>2</w:t>
      </w:r>
      <w:r w:rsidRPr="008E6668">
        <w:rPr>
          <w:rFonts w:cs="Times New Roman"/>
        </w:rPr>
        <w:t xml:space="preserve">FC| &gt; 0.585, FDR-adjusted </w:t>
      </w:r>
      <w:r w:rsidRPr="008E6668">
        <w:rPr>
          <w:rFonts w:cs="Times New Roman"/>
          <w:i/>
          <w:iCs/>
        </w:rPr>
        <w:t>P</w:t>
      </w:r>
      <w:r w:rsidRPr="008E6668">
        <w:rPr>
          <w:rFonts w:cs="Times New Roman"/>
        </w:rPr>
        <w:t xml:space="preserve"> &lt; 0.05) grouped by their response specificity to fungal VOC treatments. H, L, and P represent VOC treatments from </w:t>
      </w:r>
      <w:r w:rsidRPr="008E6668">
        <w:rPr>
          <w:rFonts w:cs="Times New Roman"/>
          <w:i/>
          <w:iCs/>
        </w:rPr>
        <w:t>Heterobasidion annosum</w:t>
      </w:r>
      <w:r w:rsidRPr="008E6668">
        <w:rPr>
          <w:rFonts w:cs="Times New Roman"/>
        </w:rPr>
        <w:t xml:space="preserve">, </w:t>
      </w:r>
      <w:r w:rsidRPr="008E6668">
        <w:rPr>
          <w:rFonts w:cs="Times New Roman"/>
          <w:i/>
          <w:iCs/>
        </w:rPr>
        <w:t>Laccaria bicolor</w:t>
      </w:r>
      <w:r w:rsidRPr="008E6668">
        <w:rPr>
          <w:rFonts w:cs="Times New Roman"/>
        </w:rPr>
        <w:t xml:space="preserve">, and </w:t>
      </w:r>
      <w:r w:rsidRPr="008E6668">
        <w:rPr>
          <w:rFonts w:cs="Times New Roman"/>
          <w:i/>
          <w:iCs/>
        </w:rPr>
        <w:t>Postia placenta</w:t>
      </w:r>
      <w:r w:rsidRPr="008E6668">
        <w:rPr>
          <w:rFonts w:cs="Times New Roman"/>
        </w:rPr>
        <w:t xml:space="preserve">, respectively. (a) General response (regulated by H, L, and P), (b-d) pairwise shared responses (H + L, H + P, L + P), and (e-g) treatment-specific responses (H-only, L-only, P-only). Colours: Control (Purple blue), </w:t>
      </w:r>
      <w:r w:rsidRPr="008E6668">
        <w:rPr>
          <w:rFonts w:cs="Times New Roman"/>
          <w:i/>
          <w:iCs/>
        </w:rPr>
        <w:t>H. annosum</w:t>
      </w:r>
      <w:r w:rsidRPr="008E6668">
        <w:rPr>
          <w:rFonts w:cs="Times New Roman"/>
        </w:rPr>
        <w:t xml:space="preserve"> (Orange), </w:t>
      </w:r>
      <w:r w:rsidRPr="008E6668">
        <w:rPr>
          <w:rFonts w:cs="Times New Roman"/>
          <w:i/>
          <w:iCs/>
        </w:rPr>
        <w:t>L. bicolor</w:t>
      </w:r>
      <w:r w:rsidRPr="008E6668">
        <w:rPr>
          <w:rFonts w:cs="Times New Roman"/>
        </w:rPr>
        <w:t xml:space="preserve"> (Green), </w:t>
      </w:r>
      <w:r w:rsidRPr="008E6668">
        <w:rPr>
          <w:rFonts w:cs="Times New Roman"/>
          <w:i/>
          <w:iCs/>
        </w:rPr>
        <w:t>P. placenta</w:t>
      </w:r>
      <w:r w:rsidRPr="008E6668">
        <w:rPr>
          <w:rFonts w:cs="Times New Roman"/>
        </w:rPr>
        <w:t xml:space="preserve"> (Pink). Tissue type indicated as Root or Leaf. n = 4 biological replicates (n = 3 for leaf control). See Figure 4 for representative examples and summary bubble plots.</w:t>
      </w:r>
    </w:p>
    <w:p w14:paraId="5C7445DF" w14:textId="77777777" w:rsidR="00382CF1" w:rsidRPr="008E6668" w:rsidRDefault="00382CF1" w:rsidP="00382CF1">
      <w:pPr>
        <w:jc w:val="left"/>
        <w:rPr>
          <w:rFonts w:cs="Times New Roman"/>
        </w:rPr>
      </w:pPr>
      <w:r w:rsidRPr="008E6668">
        <w:rPr>
          <w:rFonts w:cs="Times New Roman"/>
        </w:rPr>
        <w:br w:type="page"/>
      </w:r>
    </w:p>
    <w:p w14:paraId="73A97372" w14:textId="45B8ACEA" w:rsidR="00382CF1" w:rsidRPr="008E6668" w:rsidRDefault="00382CF1" w:rsidP="00382CF1">
      <w:pPr>
        <w:rPr>
          <w:rFonts w:cs="Times New Roman"/>
          <w:b/>
          <w:bCs/>
        </w:rPr>
      </w:pPr>
      <w:r w:rsidRPr="008E6668">
        <w:rPr>
          <w:rFonts w:cs="Times New Roman"/>
          <w:b/>
          <w:bCs/>
        </w:rPr>
        <w:lastRenderedPageBreak/>
        <w:t>Table S</w:t>
      </w:r>
      <w:r w:rsidR="00581DD9" w:rsidRPr="008E6668">
        <w:rPr>
          <w:rFonts w:cs="Times New Roman" w:hint="eastAsia"/>
          <w:b/>
          <w:bCs/>
        </w:rPr>
        <w:t>1</w:t>
      </w:r>
      <w:r w:rsidRPr="008E6668">
        <w:rPr>
          <w:rFonts w:cs="Times New Roman"/>
          <w:b/>
          <w:bCs/>
        </w:rPr>
        <w:t>. GLM and LM analysis of VOC predictors for plant metabolome variation.</w:t>
      </w:r>
    </w:p>
    <w:tbl>
      <w:tblPr>
        <w:tblW w:w="8626" w:type="dxa"/>
        <w:tblLook w:val="04A0" w:firstRow="1" w:lastRow="0" w:firstColumn="1" w:lastColumn="0" w:noHBand="0" w:noVBand="1"/>
      </w:tblPr>
      <w:tblGrid>
        <w:gridCol w:w="1856"/>
        <w:gridCol w:w="554"/>
        <w:gridCol w:w="1701"/>
        <w:gridCol w:w="1559"/>
        <w:gridCol w:w="1400"/>
        <w:gridCol w:w="1556"/>
      </w:tblGrid>
      <w:tr w:rsidR="00382CF1" w:rsidRPr="008E6668" w14:paraId="7731DB94" w14:textId="77777777" w:rsidTr="00D76F28">
        <w:trPr>
          <w:trHeight w:val="288"/>
        </w:trPr>
        <w:tc>
          <w:tcPr>
            <w:tcW w:w="1856" w:type="dxa"/>
            <w:tcBorders>
              <w:top w:val="single" w:sz="4" w:space="0" w:color="auto"/>
              <w:bottom w:val="single" w:sz="4" w:space="0" w:color="auto"/>
            </w:tcBorders>
            <w:noWrap/>
            <w:vAlign w:val="center"/>
            <w:hideMark/>
          </w:tcPr>
          <w:p w14:paraId="46BECAC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cs="Times New Roman"/>
                <w:kern w:val="0"/>
                <w:sz w:val="22"/>
                <w:szCs w:val="22"/>
                <w:lang w:val="en-US"/>
                <w14:ligatures w14:val="none"/>
              </w:rPr>
              <w:t>T</w:t>
            </w:r>
            <w:r w:rsidRPr="008E6668">
              <w:rPr>
                <w:rFonts w:eastAsia="Times New Roman" w:cs="Times New Roman"/>
                <w:kern w:val="0"/>
                <w:sz w:val="22"/>
                <w:szCs w:val="22"/>
                <w:lang w:val="en-US"/>
                <w14:ligatures w14:val="none"/>
              </w:rPr>
              <w:t>erm</w:t>
            </w:r>
          </w:p>
        </w:tc>
        <w:tc>
          <w:tcPr>
            <w:tcW w:w="554" w:type="dxa"/>
            <w:tcBorders>
              <w:top w:val="single" w:sz="4" w:space="0" w:color="auto"/>
              <w:bottom w:val="single" w:sz="4" w:space="0" w:color="auto"/>
            </w:tcBorders>
            <w:noWrap/>
            <w:vAlign w:val="center"/>
            <w:hideMark/>
          </w:tcPr>
          <w:p w14:paraId="207649E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df</w:t>
            </w:r>
          </w:p>
        </w:tc>
        <w:tc>
          <w:tcPr>
            <w:tcW w:w="1701" w:type="dxa"/>
            <w:tcBorders>
              <w:top w:val="single" w:sz="4" w:space="0" w:color="auto"/>
              <w:bottom w:val="single" w:sz="4" w:space="0" w:color="auto"/>
            </w:tcBorders>
            <w:noWrap/>
            <w:vAlign w:val="center"/>
            <w:hideMark/>
          </w:tcPr>
          <w:p w14:paraId="74FED8D2"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 xml:space="preserve">Root PC1_high </w:t>
            </w:r>
            <w:r w:rsidRPr="008E6668">
              <w:rPr>
                <w:rFonts w:cs="Times New Roman"/>
                <w:kern w:val="0"/>
                <w:sz w:val="22"/>
                <w:szCs w:val="22"/>
                <w:lang w:val="en-US"/>
                <w14:ligatures w14:val="none"/>
              </w:rPr>
              <w:br/>
            </w:r>
            <w:r w:rsidRPr="008E6668">
              <w:rPr>
                <w:rFonts w:eastAsia="Times New Roman" w:cs="Times New Roman"/>
                <w:kern w:val="0"/>
                <w:sz w:val="22"/>
                <w:szCs w:val="22"/>
                <w14:ligatures w14:val="none"/>
              </w:rPr>
              <w:t>χ</w:t>
            </w:r>
            <w:r w:rsidRPr="008E6668">
              <w:rPr>
                <w:rFonts w:cs="Times New Roman" w:hint="eastAsia"/>
                <w:kern w:val="0"/>
                <w:sz w:val="22"/>
                <w:szCs w:val="22"/>
                <w:vertAlign w:val="superscript"/>
                <w14:ligatures w14:val="none"/>
              </w:rPr>
              <w:t>2</w:t>
            </w:r>
            <w:r w:rsidRPr="008E6668">
              <w:rPr>
                <w:rFonts w:eastAsia="Times New Roman" w:cs="Times New Roman"/>
                <w:kern w:val="0"/>
                <w:sz w:val="22"/>
                <w:szCs w:val="22"/>
                <w:lang w:val="en-US"/>
                <w14:ligatures w14:val="none"/>
              </w:rPr>
              <w:t xml:space="preserve"> (p)</w:t>
            </w:r>
          </w:p>
        </w:tc>
        <w:tc>
          <w:tcPr>
            <w:tcW w:w="1559" w:type="dxa"/>
            <w:tcBorders>
              <w:top w:val="single" w:sz="4" w:space="0" w:color="auto"/>
              <w:bottom w:val="single" w:sz="4" w:space="0" w:color="auto"/>
            </w:tcBorders>
            <w:noWrap/>
            <w:vAlign w:val="center"/>
            <w:hideMark/>
          </w:tcPr>
          <w:p w14:paraId="6FD0D451"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 xml:space="preserve">Leaf PC1_high </w:t>
            </w:r>
            <w:r w:rsidRPr="008E6668">
              <w:rPr>
                <w:rFonts w:eastAsia="Times New Roman" w:cs="Times New Roman"/>
                <w:kern w:val="0"/>
                <w:sz w:val="22"/>
                <w:szCs w:val="22"/>
                <w14:ligatures w14:val="none"/>
              </w:rPr>
              <w:t>χ</w:t>
            </w:r>
            <w:r w:rsidRPr="008E6668">
              <w:rPr>
                <w:rFonts w:cs="Times New Roman" w:hint="eastAsia"/>
                <w:kern w:val="0"/>
                <w:sz w:val="22"/>
                <w:szCs w:val="22"/>
                <w:vertAlign w:val="superscript"/>
                <w14:ligatures w14:val="none"/>
              </w:rPr>
              <w:t>2</w:t>
            </w:r>
            <w:r w:rsidRPr="008E6668">
              <w:rPr>
                <w:rFonts w:eastAsia="Times New Roman" w:cs="Times New Roman"/>
                <w:kern w:val="0"/>
                <w:sz w:val="22"/>
                <w:szCs w:val="22"/>
                <w:lang w:val="en-US"/>
                <w14:ligatures w14:val="none"/>
              </w:rPr>
              <w:t xml:space="preserve"> (p)</w:t>
            </w:r>
          </w:p>
        </w:tc>
        <w:tc>
          <w:tcPr>
            <w:tcW w:w="1400" w:type="dxa"/>
            <w:tcBorders>
              <w:top w:val="single" w:sz="4" w:space="0" w:color="auto"/>
              <w:bottom w:val="single" w:sz="4" w:space="0" w:color="auto"/>
            </w:tcBorders>
            <w:noWrap/>
            <w:vAlign w:val="center"/>
            <w:hideMark/>
          </w:tcPr>
          <w:p w14:paraId="396E1426"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 xml:space="preserve">Root PC1 </w:t>
            </w:r>
            <w:r w:rsidRPr="008E6668">
              <w:rPr>
                <w:rFonts w:cs="Times New Roman"/>
                <w:kern w:val="0"/>
                <w:sz w:val="22"/>
                <w:szCs w:val="22"/>
                <w:lang w:val="en-US"/>
                <w14:ligatures w14:val="none"/>
              </w:rPr>
              <w:br/>
            </w:r>
            <w:r w:rsidRPr="008E6668">
              <w:rPr>
                <w:rFonts w:eastAsia="Times New Roman" w:cs="Times New Roman"/>
                <w:kern w:val="0"/>
                <w:sz w:val="22"/>
                <w:szCs w:val="22"/>
                <w:lang w:val="en-US"/>
                <w14:ligatures w14:val="none"/>
              </w:rPr>
              <w:t>F (p)</w:t>
            </w:r>
          </w:p>
        </w:tc>
        <w:tc>
          <w:tcPr>
            <w:tcW w:w="1556" w:type="dxa"/>
            <w:tcBorders>
              <w:top w:val="single" w:sz="4" w:space="0" w:color="auto"/>
              <w:bottom w:val="single" w:sz="4" w:space="0" w:color="auto"/>
            </w:tcBorders>
            <w:noWrap/>
            <w:vAlign w:val="center"/>
            <w:hideMark/>
          </w:tcPr>
          <w:p w14:paraId="4F07BEDC"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 xml:space="preserve">Leaf PC1 </w:t>
            </w:r>
            <w:r w:rsidRPr="008E6668">
              <w:rPr>
                <w:rFonts w:cs="Times New Roman"/>
                <w:kern w:val="0"/>
                <w:sz w:val="22"/>
                <w:szCs w:val="22"/>
                <w:lang w:val="en-US"/>
                <w14:ligatures w14:val="none"/>
              </w:rPr>
              <w:br/>
            </w:r>
            <w:r w:rsidRPr="008E6668">
              <w:rPr>
                <w:rFonts w:eastAsia="Times New Roman" w:cs="Times New Roman"/>
                <w:kern w:val="0"/>
                <w:sz w:val="22"/>
                <w:szCs w:val="22"/>
                <w:lang w:val="en-US"/>
                <w14:ligatures w14:val="none"/>
              </w:rPr>
              <w:t>F (p)</w:t>
            </w:r>
          </w:p>
        </w:tc>
      </w:tr>
      <w:tr w:rsidR="00382CF1" w:rsidRPr="008E6668" w14:paraId="5BA1C363" w14:textId="77777777" w:rsidTr="00D76F28">
        <w:trPr>
          <w:trHeight w:val="288"/>
        </w:trPr>
        <w:tc>
          <w:tcPr>
            <w:tcW w:w="1856" w:type="dxa"/>
            <w:tcBorders>
              <w:top w:val="single" w:sz="4" w:space="0" w:color="auto"/>
            </w:tcBorders>
            <w:noWrap/>
            <w:vAlign w:val="center"/>
            <w:hideMark/>
          </w:tcPr>
          <w:p w14:paraId="4EC1BEEA"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Alcohols</w:t>
            </w:r>
          </w:p>
        </w:tc>
        <w:tc>
          <w:tcPr>
            <w:tcW w:w="554" w:type="dxa"/>
            <w:tcBorders>
              <w:top w:val="single" w:sz="4" w:space="0" w:color="auto"/>
            </w:tcBorders>
            <w:noWrap/>
            <w:vAlign w:val="center"/>
            <w:hideMark/>
          </w:tcPr>
          <w:p w14:paraId="79C6047A"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tcBorders>
              <w:top w:val="single" w:sz="4" w:space="0" w:color="auto"/>
            </w:tcBorders>
            <w:noWrap/>
            <w:vAlign w:val="center"/>
            <w:hideMark/>
          </w:tcPr>
          <w:p w14:paraId="3CA6A49F"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9" w:type="dxa"/>
            <w:tcBorders>
              <w:top w:val="single" w:sz="4" w:space="0" w:color="auto"/>
            </w:tcBorders>
            <w:noWrap/>
            <w:vAlign w:val="center"/>
            <w:hideMark/>
          </w:tcPr>
          <w:p w14:paraId="60063B9B"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0.31 (0.578)</w:t>
            </w:r>
          </w:p>
        </w:tc>
        <w:tc>
          <w:tcPr>
            <w:tcW w:w="1400" w:type="dxa"/>
            <w:tcBorders>
              <w:top w:val="single" w:sz="4" w:space="0" w:color="auto"/>
            </w:tcBorders>
            <w:noWrap/>
            <w:vAlign w:val="center"/>
            <w:hideMark/>
          </w:tcPr>
          <w:p w14:paraId="6A298CF6"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6" w:type="dxa"/>
            <w:tcBorders>
              <w:top w:val="single" w:sz="4" w:space="0" w:color="auto"/>
            </w:tcBorders>
            <w:noWrap/>
            <w:vAlign w:val="center"/>
            <w:hideMark/>
          </w:tcPr>
          <w:p w14:paraId="5711A98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0.68 (0.425)</w:t>
            </w:r>
          </w:p>
        </w:tc>
      </w:tr>
      <w:tr w:rsidR="00382CF1" w:rsidRPr="008E6668" w14:paraId="6A704A9A" w14:textId="77777777" w:rsidTr="00D76F28">
        <w:trPr>
          <w:trHeight w:val="288"/>
        </w:trPr>
        <w:tc>
          <w:tcPr>
            <w:tcW w:w="1856" w:type="dxa"/>
            <w:noWrap/>
            <w:vAlign w:val="center"/>
            <w:hideMark/>
          </w:tcPr>
          <w:p w14:paraId="67D185E7"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Aldehydes</w:t>
            </w:r>
          </w:p>
        </w:tc>
        <w:tc>
          <w:tcPr>
            <w:tcW w:w="554" w:type="dxa"/>
            <w:noWrap/>
            <w:vAlign w:val="center"/>
            <w:hideMark/>
          </w:tcPr>
          <w:p w14:paraId="6C0AE00F"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784283E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0.15 (0.703)</w:t>
            </w:r>
          </w:p>
        </w:tc>
        <w:tc>
          <w:tcPr>
            <w:tcW w:w="1559" w:type="dxa"/>
            <w:noWrap/>
            <w:vAlign w:val="center"/>
            <w:hideMark/>
          </w:tcPr>
          <w:p w14:paraId="2ACC0B4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0.04 (0.850)</w:t>
            </w:r>
          </w:p>
        </w:tc>
        <w:tc>
          <w:tcPr>
            <w:tcW w:w="1400" w:type="dxa"/>
            <w:noWrap/>
            <w:vAlign w:val="center"/>
            <w:hideMark/>
          </w:tcPr>
          <w:p w14:paraId="70D9066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0.05 (0.832)</w:t>
            </w:r>
          </w:p>
        </w:tc>
        <w:tc>
          <w:tcPr>
            <w:tcW w:w="1556" w:type="dxa"/>
            <w:noWrap/>
            <w:vAlign w:val="center"/>
            <w:hideMark/>
          </w:tcPr>
          <w:p w14:paraId="50D7309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0.00 (0.953)</w:t>
            </w:r>
          </w:p>
        </w:tc>
      </w:tr>
      <w:tr w:rsidR="00382CF1" w:rsidRPr="008E6668" w14:paraId="51D92127" w14:textId="77777777" w:rsidTr="00D76F28">
        <w:trPr>
          <w:trHeight w:val="288"/>
        </w:trPr>
        <w:tc>
          <w:tcPr>
            <w:tcW w:w="1856" w:type="dxa"/>
            <w:noWrap/>
            <w:vAlign w:val="center"/>
            <w:hideMark/>
          </w:tcPr>
          <w:p w14:paraId="70EADACC"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Alkanes</w:t>
            </w:r>
          </w:p>
        </w:tc>
        <w:tc>
          <w:tcPr>
            <w:tcW w:w="554" w:type="dxa"/>
            <w:noWrap/>
            <w:vAlign w:val="center"/>
            <w:hideMark/>
          </w:tcPr>
          <w:p w14:paraId="7CD8B0A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1FFEE4B2"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0.23 (0.630)</w:t>
            </w:r>
          </w:p>
        </w:tc>
        <w:tc>
          <w:tcPr>
            <w:tcW w:w="1559" w:type="dxa"/>
            <w:noWrap/>
            <w:vAlign w:val="center"/>
            <w:hideMark/>
          </w:tcPr>
          <w:p w14:paraId="1098404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0.29 (0.588)</w:t>
            </w:r>
          </w:p>
        </w:tc>
        <w:tc>
          <w:tcPr>
            <w:tcW w:w="1400" w:type="dxa"/>
            <w:noWrap/>
            <w:vAlign w:val="center"/>
            <w:hideMark/>
          </w:tcPr>
          <w:p w14:paraId="3BE6C5C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0.97 (0.342)</w:t>
            </w:r>
          </w:p>
        </w:tc>
        <w:tc>
          <w:tcPr>
            <w:tcW w:w="1556" w:type="dxa"/>
            <w:noWrap/>
            <w:vAlign w:val="center"/>
            <w:hideMark/>
          </w:tcPr>
          <w:p w14:paraId="1F3F136E"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0.47 (0.503)</w:t>
            </w:r>
          </w:p>
        </w:tc>
      </w:tr>
      <w:tr w:rsidR="00382CF1" w:rsidRPr="008E6668" w14:paraId="246D2C99" w14:textId="77777777" w:rsidTr="00D76F28">
        <w:trPr>
          <w:trHeight w:val="288"/>
        </w:trPr>
        <w:tc>
          <w:tcPr>
            <w:tcW w:w="1856" w:type="dxa"/>
            <w:noWrap/>
            <w:vAlign w:val="center"/>
            <w:hideMark/>
          </w:tcPr>
          <w:p w14:paraId="11D9A5DE"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Benzene Derivatives</w:t>
            </w:r>
          </w:p>
        </w:tc>
        <w:tc>
          <w:tcPr>
            <w:tcW w:w="554" w:type="dxa"/>
            <w:noWrap/>
            <w:vAlign w:val="center"/>
            <w:hideMark/>
          </w:tcPr>
          <w:p w14:paraId="65BD012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1EE2F8C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2.42 (0.119)</w:t>
            </w:r>
          </w:p>
        </w:tc>
        <w:tc>
          <w:tcPr>
            <w:tcW w:w="1559" w:type="dxa"/>
            <w:noWrap/>
            <w:vAlign w:val="center"/>
            <w:hideMark/>
          </w:tcPr>
          <w:p w14:paraId="046EFDE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0.05 (0.820)</w:t>
            </w:r>
          </w:p>
        </w:tc>
        <w:tc>
          <w:tcPr>
            <w:tcW w:w="1400" w:type="dxa"/>
            <w:noWrap/>
            <w:vAlign w:val="center"/>
            <w:hideMark/>
          </w:tcPr>
          <w:p w14:paraId="310F5A50"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1.00 (0.334)</w:t>
            </w:r>
          </w:p>
        </w:tc>
        <w:tc>
          <w:tcPr>
            <w:tcW w:w="1556" w:type="dxa"/>
            <w:noWrap/>
            <w:vAlign w:val="center"/>
            <w:hideMark/>
          </w:tcPr>
          <w:p w14:paraId="35088F45"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0.25 (0.624)</w:t>
            </w:r>
          </w:p>
        </w:tc>
      </w:tr>
      <w:tr w:rsidR="00382CF1" w:rsidRPr="008E6668" w14:paraId="2418D243" w14:textId="77777777" w:rsidTr="00D76F28">
        <w:trPr>
          <w:trHeight w:val="288"/>
        </w:trPr>
        <w:tc>
          <w:tcPr>
            <w:tcW w:w="1856" w:type="dxa"/>
            <w:noWrap/>
            <w:vAlign w:val="center"/>
            <w:hideMark/>
          </w:tcPr>
          <w:p w14:paraId="0B54BDF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Esters</w:t>
            </w:r>
          </w:p>
        </w:tc>
        <w:tc>
          <w:tcPr>
            <w:tcW w:w="554" w:type="dxa"/>
            <w:noWrap/>
            <w:vAlign w:val="center"/>
            <w:hideMark/>
          </w:tcPr>
          <w:p w14:paraId="4D08015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472886A7"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9" w:type="dxa"/>
            <w:noWrap/>
            <w:vAlign w:val="center"/>
            <w:hideMark/>
          </w:tcPr>
          <w:p w14:paraId="78C28DE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0.40 (0.529)</w:t>
            </w:r>
          </w:p>
        </w:tc>
        <w:tc>
          <w:tcPr>
            <w:tcW w:w="1400" w:type="dxa"/>
            <w:noWrap/>
            <w:vAlign w:val="center"/>
            <w:hideMark/>
          </w:tcPr>
          <w:p w14:paraId="5ACAE3EF"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6" w:type="dxa"/>
            <w:noWrap/>
            <w:vAlign w:val="center"/>
            <w:hideMark/>
          </w:tcPr>
          <w:p w14:paraId="34971BF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0.68 (0.424)</w:t>
            </w:r>
          </w:p>
        </w:tc>
      </w:tr>
      <w:tr w:rsidR="00382CF1" w:rsidRPr="008E6668" w14:paraId="140427B5" w14:textId="77777777" w:rsidTr="00D76F28">
        <w:trPr>
          <w:trHeight w:val="288"/>
        </w:trPr>
        <w:tc>
          <w:tcPr>
            <w:tcW w:w="1856" w:type="dxa"/>
            <w:noWrap/>
            <w:vAlign w:val="center"/>
            <w:hideMark/>
          </w:tcPr>
          <w:p w14:paraId="67470DA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Ketones</w:t>
            </w:r>
          </w:p>
        </w:tc>
        <w:tc>
          <w:tcPr>
            <w:tcW w:w="554" w:type="dxa"/>
            <w:noWrap/>
            <w:vAlign w:val="center"/>
            <w:hideMark/>
          </w:tcPr>
          <w:p w14:paraId="2BE3E483"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60C24071"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1.02 (0.311)</w:t>
            </w:r>
          </w:p>
        </w:tc>
        <w:tc>
          <w:tcPr>
            <w:tcW w:w="1559" w:type="dxa"/>
            <w:noWrap/>
            <w:vAlign w:val="center"/>
            <w:hideMark/>
          </w:tcPr>
          <w:p w14:paraId="172F1A80" w14:textId="77777777" w:rsidR="00382CF1" w:rsidRPr="008E6668" w:rsidRDefault="00382CF1" w:rsidP="00D76F28">
            <w:pPr>
              <w:spacing w:after="0" w:line="240" w:lineRule="auto"/>
              <w:jc w:val="left"/>
              <w:rPr>
                <w:rFonts w:cs="Times New Roman"/>
                <w:kern w:val="0"/>
                <w:sz w:val="22"/>
                <w:szCs w:val="22"/>
                <w:lang w:val="en-US"/>
                <w14:ligatures w14:val="none"/>
              </w:rPr>
            </w:pPr>
            <w:r w:rsidRPr="008E6668">
              <w:rPr>
                <w:rFonts w:eastAsia="Times New Roman" w:cs="Times New Roman"/>
                <w:kern w:val="0"/>
                <w:sz w:val="22"/>
                <w:szCs w:val="22"/>
                <w:lang w:val="en-US"/>
                <w14:ligatures w14:val="none"/>
              </w:rPr>
              <w:t>2.89 (0.089)</w:t>
            </w:r>
          </w:p>
        </w:tc>
        <w:tc>
          <w:tcPr>
            <w:tcW w:w="1400" w:type="dxa"/>
            <w:noWrap/>
            <w:vAlign w:val="center"/>
            <w:hideMark/>
          </w:tcPr>
          <w:p w14:paraId="0518661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0.02 (0.884)</w:t>
            </w:r>
          </w:p>
        </w:tc>
        <w:tc>
          <w:tcPr>
            <w:tcW w:w="1556" w:type="dxa"/>
            <w:noWrap/>
            <w:vAlign w:val="center"/>
            <w:hideMark/>
          </w:tcPr>
          <w:p w14:paraId="14121033"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0.55 (0.473)</w:t>
            </w:r>
          </w:p>
        </w:tc>
      </w:tr>
      <w:tr w:rsidR="00382CF1" w:rsidRPr="008E6668" w14:paraId="4A81E82A" w14:textId="77777777" w:rsidTr="00D76F28">
        <w:trPr>
          <w:trHeight w:val="288"/>
        </w:trPr>
        <w:tc>
          <w:tcPr>
            <w:tcW w:w="1856" w:type="dxa"/>
            <w:noWrap/>
            <w:vAlign w:val="center"/>
            <w:hideMark/>
          </w:tcPr>
          <w:p w14:paraId="7E74008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Monoterpenoids</w:t>
            </w:r>
          </w:p>
        </w:tc>
        <w:tc>
          <w:tcPr>
            <w:tcW w:w="554" w:type="dxa"/>
            <w:noWrap/>
            <w:vAlign w:val="center"/>
            <w:hideMark/>
          </w:tcPr>
          <w:p w14:paraId="43460B1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71248AE1"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9" w:type="dxa"/>
            <w:noWrap/>
            <w:vAlign w:val="center"/>
            <w:hideMark/>
          </w:tcPr>
          <w:p w14:paraId="21F0E0E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0.14 (0.713)</w:t>
            </w:r>
          </w:p>
        </w:tc>
        <w:tc>
          <w:tcPr>
            <w:tcW w:w="1400" w:type="dxa"/>
            <w:noWrap/>
            <w:vAlign w:val="center"/>
            <w:hideMark/>
          </w:tcPr>
          <w:p w14:paraId="30F11832"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6" w:type="dxa"/>
            <w:noWrap/>
            <w:vAlign w:val="center"/>
            <w:hideMark/>
          </w:tcPr>
          <w:p w14:paraId="2C3A0FEE"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0.03 (0.861)</w:t>
            </w:r>
          </w:p>
        </w:tc>
      </w:tr>
      <w:tr w:rsidR="00382CF1" w:rsidRPr="008E6668" w14:paraId="59AC9EA0" w14:textId="77777777" w:rsidTr="00D76F28">
        <w:trPr>
          <w:trHeight w:val="288"/>
        </w:trPr>
        <w:tc>
          <w:tcPr>
            <w:tcW w:w="1856" w:type="dxa"/>
            <w:noWrap/>
            <w:vAlign w:val="center"/>
            <w:hideMark/>
          </w:tcPr>
          <w:p w14:paraId="74B470C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Sesquiterpenoids</w:t>
            </w:r>
          </w:p>
        </w:tc>
        <w:tc>
          <w:tcPr>
            <w:tcW w:w="554" w:type="dxa"/>
            <w:noWrap/>
            <w:vAlign w:val="center"/>
            <w:hideMark/>
          </w:tcPr>
          <w:p w14:paraId="4957036B"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2A2AEF3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0.26 (0.612)</w:t>
            </w:r>
          </w:p>
        </w:tc>
        <w:tc>
          <w:tcPr>
            <w:tcW w:w="1559" w:type="dxa"/>
            <w:noWrap/>
            <w:vAlign w:val="center"/>
            <w:hideMark/>
          </w:tcPr>
          <w:p w14:paraId="4C281EE5"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0.12 (0.725)</w:t>
            </w:r>
          </w:p>
        </w:tc>
        <w:tc>
          <w:tcPr>
            <w:tcW w:w="1400" w:type="dxa"/>
            <w:noWrap/>
            <w:vAlign w:val="center"/>
            <w:hideMark/>
          </w:tcPr>
          <w:p w14:paraId="3A361215"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0.05 (0.834)</w:t>
            </w:r>
          </w:p>
        </w:tc>
        <w:tc>
          <w:tcPr>
            <w:tcW w:w="1556" w:type="dxa"/>
            <w:noWrap/>
            <w:vAlign w:val="center"/>
            <w:hideMark/>
          </w:tcPr>
          <w:p w14:paraId="47606FC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0.61 (0.448)</w:t>
            </w:r>
          </w:p>
        </w:tc>
      </w:tr>
      <w:tr w:rsidR="00382CF1" w:rsidRPr="008E6668" w14:paraId="73FE943C" w14:textId="77777777" w:rsidTr="00D76F28">
        <w:trPr>
          <w:trHeight w:val="288"/>
        </w:trPr>
        <w:tc>
          <w:tcPr>
            <w:tcW w:w="1856" w:type="dxa"/>
            <w:noWrap/>
            <w:vAlign w:val="center"/>
            <w:hideMark/>
          </w:tcPr>
          <w:p w14:paraId="4E4E339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TotalVOC</w:t>
            </w:r>
          </w:p>
        </w:tc>
        <w:tc>
          <w:tcPr>
            <w:tcW w:w="554" w:type="dxa"/>
            <w:noWrap/>
            <w:vAlign w:val="center"/>
            <w:hideMark/>
          </w:tcPr>
          <w:p w14:paraId="291E3566"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w:t>
            </w:r>
          </w:p>
        </w:tc>
        <w:tc>
          <w:tcPr>
            <w:tcW w:w="1701" w:type="dxa"/>
            <w:noWrap/>
            <w:vAlign w:val="center"/>
            <w:hideMark/>
          </w:tcPr>
          <w:p w14:paraId="06F3421B"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0.27 (0.606)</w:t>
            </w:r>
          </w:p>
        </w:tc>
        <w:tc>
          <w:tcPr>
            <w:tcW w:w="1559" w:type="dxa"/>
            <w:noWrap/>
            <w:vAlign w:val="center"/>
            <w:hideMark/>
          </w:tcPr>
          <w:p w14:paraId="3D3BB431"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0.35 (0.557)</w:t>
            </w:r>
          </w:p>
        </w:tc>
        <w:tc>
          <w:tcPr>
            <w:tcW w:w="1400" w:type="dxa"/>
            <w:noWrap/>
            <w:vAlign w:val="center"/>
            <w:hideMark/>
          </w:tcPr>
          <w:p w14:paraId="367C7FF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0.05 (0.827)</w:t>
            </w:r>
          </w:p>
        </w:tc>
        <w:tc>
          <w:tcPr>
            <w:tcW w:w="1556" w:type="dxa"/>
            <w:noWrap/>
            <w:vAlign w:val="center"/>
            <w:hideMark/>
          </w:tcPr>
          <w:p w14:paraId="6146CBA0"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0.39 (0.541)</w:t>
            </w:r>
          </w:p>
        </w:tc>
      </w:tr>
      <w:tr w:rsidR="00382CF1" w:rsidRPr="008E6668" w14:paraId="3C1D3344" w14:textId="77777777" w:rsidTr="00D76F28">
        <w:trPr>
          <w:trHeight w:val="288"/>
        </w:trPr>
        <w:tc>
          <w:tcPr>
            <w:tcW w:w="1856" w:type="dxa"/>
            <w:noWrap/>
            <w:vAlign w:val="center"/>
            <w:hideMark/>
          </w:tcPr>
          <w:p w14:paraId="0889BD35" w14:textId="77777777" w:rsidR="00382CF1" w:rsidRPr="008E6668" w:rsidRDefault="00382CF1" w:rsidP="00D76F28">
            <w:pPr>
              <w:spacing w:after="0" w:line="240" w:lineRule="auto"/>
              <w:jc w:val="left"/>
              <w:rPr>
                <w:rFonts w:cs="Times New Roman"/>
                <w:kern w:val="0"/>
                <w:sz w:val="22"/>
                <w:szCs w:val="22"/>
                <w:lang w:val="en-US"/>
                <w14:ligatures w14:val="none"/>
              </w:rPr>
            </w:pPr>
            <w:r w:rsidRPr="008E6668">
              <w:rPr>
                <w:rFonts w:eastAsia="Times New Roman" w:cs="Times New Roman"/>
                <w:kern w:val="0"/>
                <w:sz w:val="22"/>
                <w:szCs w:val="22"/>
                <w:lang w:val="en-US"/>
                <w14:ligatures w14:val="none"/>
              </w:rPr>
              <w:t>MT_class</w:t>
            </w:r>
          </w:p>
        </w:tc>
        <w:tc>
          <w:tcPr>
            <w:tcW w:w="554" w:type="dxa"/>
            <w:noWrap/>
            <w:vAlign w:val="center"/>
            <w:hideMark/>
          </w:tcPr>
          <w:p w14:paraId="272C5407"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3</w:t>
            </w:r>
          </w:p>
        </w:tc>
        <w:tc>
          <w:tcPr>
            <w:tcW w:w="1701" w:type="dxa"/>
            <w:noWrap/>
            <w:vAlign w:val="center"/>
            <w:hideMark/>
          </w:tcPr>
          <w:p w14:paraId="6AA045B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9" w:type="dxa"/>
            <w:noWrap/>
            <w:vAlign w:val="center"/>
            <w:hideMark/>
          </w:tcPr>
          <w:p w14:paraId="21A06284"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5.14 (0.162)</w:t>
            </w:r>
          </w:p>
        </w:tc>
        <w:tc>
          <w:tcPr>
            <w:tcW w:w="1400" w:type="dxa"/>
            <w:noWrap/>
            <w:vAlign w:val="center"/>
            <w:hideMark/>
          </w:tcPr>
          <w:p w14:paraId="20F0294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w:t>
            </w:r>
          </w:p>
        </w:tc>
        <w:tc>
          <w:tcPr>
            <w:tcW w:w="1556" w:type="dxa"/>
            <w:noWrap/>
            <w:vAlign w:val="center"/>
            <w:hideMark/>
          </w:tcPr>
          <w:p w14:paraId="386CAC5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0.59 (0.633)</w:t>
            </w:r>
          </w:p>
        </w:tc>
      </w:tr>
      <w:tr w:rsidR="00382CF1" w:rsidRPr="008E6668" w14:paraId="6AD2C55E" w14:textId="77777777" w:rsidTr="00D76F28">
        <w:trPr>
          <w:trHeight w:val="288"/>
        </w:trPr>
        <w:tc>
          <w:tcPr>
            <w:tcW w:w="1856" w:type="dxa"/>
            <w:noWrap/>
            <w:vAlign w:val="center"/>
            <w:hideMark/>
          </w:tcPr>
          <w:p w14:paraId="47449C7B"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S</w:t>
            </w:r>
            <w:r w:rsidRPr="008E6668">
              <w:rPr>
                <w:rFonts w:cs="Times New Roman"/>
                <w:kern w:val="0"/>
                <w:sz w:val="22"/>
                <w:szCs w:val="22"/>
                <w:lang w:val="en-US"/>
                <w14:ligatures w14:val="none"/>
              </w:rPr>
              <w:t>Q</w:t>
            </w:r>
            <w:r w:rsidRPr="008E6668">
              <w:rPr>
                <w:rFonts w:eastAsia="Times New Roman" w:cs="Times New Roman"/>
                <w:kern w:val="0"/>
                <w:sz w:val="22"/>
                <w:szCs w:val="22"/>
                <w:lang w:val="en-US"/>
                <w14:ligatures w14:val="none"/>
              </w:rPr>
              <w:t>T_class</w:t>
            </w:r>
          </w:p>
        </w:tc>
        <w:tc>
          <w:tcPr>
            <w:tcW w:w="554" w:type="dxa"/>
            <w:noWrap/>
            <w:vAlign w:val="center"/>
            <w:hideMark/>
          </w:tcPr>
          <w:p w14:paraId="2E34004A"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3</w:t>
            </w:r>
          </w:p>
        </w:tc>
        <w:tc>
          <w:tcPr>
            <w:tcW w:w="1701" w:type="dxa"/>
            <w:noWrap/>
            <w:vAlign w:val="center"/>
            <w:hideMark/>
          </w:tcPr>
          <w:p w14:paraId="1BFBD60D" w14:textId="77777777" w:rsidR="00382CF1" w:rsidRPr="008E6668" w:rsidRDefault="00382CF1" w:rsidP="00D76F28">
            <w:pPr>
              <w:spacing w:after="0" w:line="240" w:lineRule="auto"/>
              <w:jc w:val="left"/>
              <w:rPr>
                <w:rFonts w:cs="Times New Roman"/>
                <w:kern w:val="0"/>
                <w:sz w:val="22"/>
                <w:szCs w:val="22"/>
                <w:lang w:val="en-US"/>
                <w14:ligatures w14:val="none"/>
              </w:rPr>
            </w:pPr>
            <w:r w:rsidRPr="008E6668">
              <w:rPr>
                <w:rFonts w:eastAsia="Times New Roman" w:cs="Times New Roman"/>
                <w:kern w:val="0"/>
                <w:sz w:val="22"/>
                <w:szCs w:val="22"/>
                <w:lang w:val="en-US"/>
                <w14:ligatures w14:val="none"/>
              </w:rPr>
              <w:t>7.64 (0.054)</w:t>
            </w:r>
          </w:p>
        </w:tc>
        <w:tc>
          <w:tcPr>
            <w:tcW w:w="1559" w:type="dxa"/>
            <w:noWrap/>
            <w:vAlign w:val="center"/>
            <w:hideMark/>
          </w:tcPr>
          <w:p w14:paraId="274F68EC" w14:textId="47F25C45" w:rsidR="00382CF1" w:rsidRPr="008E6668" w:rsidRDefault="00382CF1" w:rsidP="00D76F28">
            <w:pPr>
              <w:spacing w:after="0" w:line="240" w:lineRule="auto"/>
              <w:jc w:val="left"/>
              <w:rPr>
                <w:rFonts w:eastAsia="Times New Roman" w:cs="Times New Roman"/>
                <w:b/>
                <w:bCs/>
                <w:kern w:val="0"/>
                <w:sz w:val="22"/>
                <w:szCs w:val="22"/>
                <w:lang w:val="en-US"/>
                <w14:ligatures w14:val="none"/>
              </w:rPr>
            </w:pPr>
            <w:r w:rsidRPr="008E6668">
              <w:rPr>
                <w:rFonts w:eastAsia="Times New Roman" w:cs="Times New Roman"/>
                <w:b/>
                <w:bCs/>
                <w:kern w:val="0"/>
                <w:sz w:val="22"/>
                <w:szCs w:val="22"/>
                <w:lang w:val="en-US"/>
                <w14:ligatures w14:val="none"/>
              </w:rPr>
              <w:t>10.68 (0.014)</w:t>
            </w:r>
            <w:r w:rsidR="00710549" w:rsidRPr="008E6668">
              <w:rPr>
                <w:rFonts w:cs="Times New Roman" w:hint="eastAsia"/>
                <w:b/>
                <w:bCs/>
                <w:kern w:val="0"/>
                <w:sz w:val="22"/>
                <w:szCs w:val="22"/>
                <w:vertAlign w:val="superscript"/>
                <w:lang w:val="en-US"/>
                <w14:ligatures w14:val="none"/>
              </w:rPr>
              <w:t>*</w:t>
            </w:r>
          </w:p>
        </w:tc>
        <w:tc>
          <w:tcPr>
            <w:tcW w:w="1400" w:type="dxa"/>
            <w:noWrap/>
            <w:vAlign w:val="center"/>
            <w:hideMark/>
          </w:tcPr>
          <w:p w14:paraId="2C78E20E"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0.68 (0.580)</w:t>
            </w:r>
          </w:p>
        </w:tc>
        <w:tc>
          <w:tcPr>
            <w:tcW w:w="1556" w:type="dxa"/>
            <w:noWrap/>
            <w:vAlign w:val="center"/>
            <w:hideMark/>
          </w:tcPr>
          <w:p w14:paraId="3484EF08"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1.05 (0.410)</w:t>
            </w:r>
          </w:p>
        </w:tc>
      </w:tr>
      <w:tr w:rsidR="00382CF1" w:rsidRPr="008E6668" w14:paraId="0A591683" w14:textId="77777777" w:rsidTr="00D76F28">
        <w:trPr>
          <w:trHeight w:val="288"/>
        </w:trPr>
        <w:tc>
          <w:tcPr>
            <w:tcW w:w="1856" w:type="dxa"/>
            <w:tcBorders>
              <w:bottom w:val="single" w:sz="4" w:space="0" w:color="auto"/>
            </w:tcBorders>
            <w:noWrap/>
            <w:vAlign w:val="center"/>
            <w:hideMark/>
          </w:tcPr>
          <w:p w14:paraId="32EAA195"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Treatment</w:t>
            </w:r>
          </w:p>
        </w:tc>
        <w:tc>
          <w:tcPr>
            <w:tcW w:w="554" w:type="dxa"/>
            <w:tcBorders>
              <w:bottom w:val="single" w:sz="4" w:space="0" w:color="auto"/>
            </w:tcBorders>
            <w:noWrap/>
            <w:vAlign w:val="center"/>
            <w:hideMark/>
          </w:tcPr>
          <w:p w14:paraId="6E45A37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3</w:t>
            </w:r>
          </w:p>
        </w:tc>
        <w:tc>
          <w:tcPr>
            <w:tcW w:w="1701" w:type="dxa"/>
            <w:tcBorders>
              <w:bottom w:val="single" w:sz="4" w:space="0" w:color="auto"/>
            </w:tcBorders>
            <w:noWrap/>
            <w:vAlign w:val="center"/>
            <w:hideMark/>
          </w:tcPr>
          <w:p w14:paraId="009D4AB4" w14:textId="56D70EBE" w:rsidR="00382CF1" w:rsidRPr="008E6668" w:rsidRDefault="00382CF1" w:rsidP="00D76F28">
            <w:pPr>
              <w:spacing w:after="0" w:line="240" w:lineRule="auto"/>
              <w:jc w:val="left"/>
              <w:rPr>
                <w:rFonts w:eastAsia="Times New Roman" w:cs="Times New Roman"/>
                <w:b/>
                <w:bCs/>
                <w:kern w:val="0"/>
                <w:sz w:val="22"/>
                <w:szCs w:val="22"/>
                <w:lang w:val="en-US"/>
                <w14:ligatures w14:val="none"/>
              </w:rPr>
            </w:pPr>
            <w:r w:rsidRPr="008E6668">
              <w:rPr>
                <w:rFonts w:eastAsia="Times New Roman" w:cs="Times New Roman"/>
                <w:b/>
                <w:bCs/>
                <w:kern w:val="0"/>
                <w:sz w:val="22"/>
                <w:szCs w:val="22"/>
                <w:lang w:val="en-US"/>
                <w14:ligatures w14:val="none"/>
              </w:rPr>
              <w:t>11.09 (0.011)</w:t>
            </w:r>
            <w:r w:rsidR="00710549" w:rsidRPr="008E6668">
              <w:rPr>
                <w:rFonts w:cs="Times New Roman" w:hint="eastAsia"/>
                <w:b/>
                <w:bCs/>
                <w:kern w:val="0"/>
                <w:sz w:val="22"/>
                <w:szCs w:val="22"/>
                <w:vertAlign w:val="superscript"/>
                <w:lang w:val="en-US"/>
                <w14:ligatures w14:val="none"/>
              </w:rPr>
              <w:t>*</w:t>
            </w:r>
          </w:p>
        </w:tc>
        <w:tc>
          <w:tcPr>
            <w:tcW w:w="1559" w:type="dxa"/>
            <w:tcBorders>
              <w:bottom w:val="single" w:sz="4" w:space="0" w:color="auto"/>
            </w:tcBorders>
            <w:noWrap/>
            <w:vAlign w:val="center"/>
            <w:hideMark/>
          </w:tcPr>
          <w:p w14:paraId="2D4784AD"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5.14 (0.162)</w:t>
            </w:r>
          </w:p>
        </w:tc>
        <w:tc>
          <w:tcPr>
            <w:tcW w:w="1400" w:type="dxa"/>
            <w:tcBorders>
              <w:bottom w:val="single" w:sz="4" w:space="0" w:color="auto"/>
            </w:tcBorders>
            <w:noWrap/>
            <w:vAlign w:val="center"/>
            <w:hideMark/>
          </w:tcPr>
          <w:p w14:paraId="2BB9BDE9" w14:textId="77777777" w:rsidR="00382CF1" w:rsidRPr="008E6668" w:rsidRDefault="00382CF1" w:rsidP="00D76F28">
            <w:pPr>
              <w:spacing w:after="0" w:line="240" w:lineRule="auto"/>
              <w:jc w:val="left"/>
              <w:rPr>
                <w:rFonts w:eastAsia="Times New Roman" w:cs="Times New Roman"/>
                <w:kern w:val="0"/>
                <w:sz w:val="22"/>
                <w:szCs w:val="22"/>
                <w:lang w:val="en-US"/>
                <w14:ligatures w14:val="none"/>
              </w:rPr>
            </w:pPr>
            <w:r w:rsidRPr="008E6668">
              <w:rPr>
                <w:rFonts w:eastAsia="Times New Roman" w:cs="Times New Roman"/>
                <w:kern w:val="0"/>
                <w:sz w:val="22"/>
                <w:szCs w:val="22"/>
                <w:lang w:val="en-US"/>
                <w14:ligatures w14:val="none"/>
              </w:rPr>
              <w:t>2.19 (0.142)</w:t>
            </w:r>
          </w:p>
        </w:tc>
        <w:tc>
          <w:tcPr>
            <w:tcW w:w="1556" w:type="dxa"/>
            <w:tcBorders>
              <w:bottom w:val="single" w:sz="4" w:space="0" w:color="auto"/>
            </w:tcBorders>
            <w:noWrap/>
            <w:vAlign w:val="center"/>
            <w:hideMark/>
          </w:tcPr>
          <w:p w14:paraId="0FB7698E" w14:textId="1A5FA4FB" w:rsidR="00382CF1" w:rsidRPr="008E6668" w:rsidRDefault="00382CF1" w:rsidP="00D76F28">
            <w:pPr>
              <w:spacing w:after="0" w:line="240" w:lineRule="auto"/>
              <w:jc w:val="left"/>
              <w:rPr>
                <w:rFonts w:cs="Times New Roman"/>
                <w:b/>
                <w:bCs/>
                <w:kern w:val="0"/>
                <w:sz w:val="22"/>
                <w:szCs w:val="22"/>
                <w:lang w:val="en-US"/>
                <w14:ligatures w14:val="none"/>
              </w:rPr>
            </w:pPr>
            <w:r w:rsidRPr="008E6668">
              <w:rPr>
                <w:rFonts w:eastAsia="Times New Roman" w:cs="Times New Roman"/>
                <w:b/>
                <w:bCs/>
                <w:kern w:val="0"/>
                <w:sz w:val="22"/>
                <w:szCs w:val="22"/>
                <w:lang w:val="en-US"/>
                <w14:ligatures w14:val="none"/>
              </w:rPr>
              <w:t>4.84 (0.022)</w:t>
            </w:r>
            <w:r w:rsidR="00710549" w:rsidRPr="008E6668">
              <w:rPr>
                <w:rFonts w:cs="Times New Roman" w:hint="eastAsia"/>
                <w:b/>
                <w:bCs/>
                <w:kern w:val="0"/>
                <w:sz w:val="22"/>
                <w:szCs w:val="22"/>
                <w:vertAlign w:val="superscript"/>
                <w:lang w:val="en-US"/>
                <w14:ligatures w14:val="none"/>
              </w:rPr>
              <w:t>*</w:t>
            </w:r>
          </w:p>
        </w:tc>
      </w:tr>
    </w:tbl>
    <w:p w14:paraId="35C21DFA" w14:textId="0A83B014" w:rsidR="00AC244D" w:rsidRPr="008E6668" w:rsidRDefault="00E133C8" w:rsidP="00E133C8">
      <w:pPr>
        <w:spacing w:after="0" w:line="240" w:lineRule="auto"/>
        <w:rPr>
          <w:rFonts w:cs="Times New Roman"/>
          <w:sz w:val="20"/>
          <w:szCs w:val="20"/>
        </w:rPr>
      </w:pPr>
      <w:r w:rsidRPr="008E6668">
        <w:rPr>
          <w:rFonts w:cs="Times New Roman"/>
          <w:sz w:val="20"/>
          <w:szCs w:val="20"/>
        </w:rPr>
        <w:t>VOC data for statistical analysis were derived from Zhu et al. (202</w:t>
      </w:r>
      <w:r w:rsidR="00147DFC" w:rsidRPr="008E6668">
        <w:rPr>
          <w:rFonts w:cs="Times New Roman" w:hint="eastAsia"/>
          <w:sz w:val="20"/>
          <w:szCs w:val="20"/>
        </w:rPr>
        <w:t>6</w:t>
      </w:r>
      <w:r w:rsidRPr="008E6668">
        <w:rPr>
          <w:rFonts w:cs="Times New Roman"/>
          <w:sz w:val="20"/>
          <w:szCs w:val="20"/>
        </w:rPr>
        <w:t>).</w:t>
      </w:r>
      <w:r w:rsidRPr="008E6668">
        <w:rPr>
          <w:rFonts w:cs="Times New Roman" w:hint="eastAsia"/>
          <w:sz w:val="20"/>
          <w:szCs w:val="20"/>
        </w:rPr>
        <w:t xml:space="preserve"> </w:t>
      </w:r>
      <w:r w:rsidR="00382CF1" w:rsidRPr="008E6668">
        <w:rPr>
          <w:rFonts w:cs="Times New Roman"/>
          <w:sz w:val="20"/>
          <w:szCs w:val="20"/>
        </w:rPr>
        <w:t xml:space="preserve">SQT_class and MT_class denote quartile (Q1–Q4) categories of sesquiterpenoid and monoterpenoid </w:t>
      </w:r>
      <w:r w:rsidR="00382CF1" w:rsidRPr="008E6668">
        <w:rPr>
          <w:rFonts w:cs="Times New Roman"/>
          <w:i/>
          <w:iCs/>
          <w:sz w:val="20"/>
          <w:szCs w:val="20"/>
        </w:rPr>
        <w:t>proportions</w:t>
      </w:r>
      <w:r w:rsidR="00382CF1" w:rsidRPr="008E6668">
        <w:rPr>
          <w:rFonts w:cs="Times New Roman"/>
          <w:sz w:val="20"/>
          <w:szCs w:val="20"/>
        </w:rPr>
        <w:t xml:space="preserve"> in total VOC emissions. “–” indicates predictors with zero variance (excluded from the model). Significance: </w:t>
      </w:r>
      <w:r w:rsidR="00710549" w:rsidRPr="008E6668">
        <w:rPr>
          <w:rFonts w:cs="Times New Roman" w:hint="eastAsia"/>
          <w:b/>
          <w:bCs/>
          <w:kern w:val="0"/>
          <w:sz w:val="22"/>
          <w:szCs w:val="22"/>
          <w:vertAlign w:val="superscript"/>
          <w:lang w:val="en-US"/>
          <w14:ligatures w14:val="none"/>
        </w:rPr>
        <w:t>*</w:t>
      </w:r>
      <w:r w:rsidR="00382CF1" w:rsidRPr="008E6668">
        <w:rPr>
          <w:rFonts w:cs="Times New Roman"/>
          <w:i/>
          <w:iCs/>
          <w:sz w:val="20"/>
          <w:szCs w:val="20"/>
        </w:rPr>
        <w:t>P</w:t>
      </w:r>
      <w:r w:rsidR="00382CF1" w:rsidRPr="008E6668">
        <w:rPr>
          <w:rFonts w:cs="Times New Roman"/>
          <w:sz w:val="20"/>
          <w:szCs w:val="20"/>
        </w:rPr>
        <w:t xml:space="preserve"> &lt; 0.05 (ns otherwise).</w:t>
      </w:r>
    </w:p>
    <w:sectPr w:rsidR="00AC244D" w:rsidRPr="008E6668" w:rsidSect="00382CF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73BFC" w14:textId="77777777" w:rsidR="009564C6" w:rsidRDefault="009564C6" w:rsidP="004C6AE8">
      <w:pPr>
        <w:spacing w:after="0" w:line="240" w:lineRule="auto"/>
      </w:pPr>
      <w:r>
        <w:separator/>
      </w:r>
    </w:p>
  </w:endnote>
  <w:endnote w:type="continuationSeparator" w:id="0">
    <w:p w14:paraId="5FB43CA7" w14:textId="77777777" w:rsidR="009564C6" w:rsidRDefault="009564C6" w:rsidP="004C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7905F" w14:textId="77777777" w:rsidR="009564C6" w:rsidRDefault="009564C6" w:rsidP="004C6AE8">
      <w:pPr>
        <w:spacing w:after="0" w:line="240" w:lineRule="auto"/>
      </w:pPr>
      <w:r>
        <w:separator/>
      </w:r>
    </w:p>
  </w:footnote>
  <w:footnote w:type="continuationSeparator" w:id="0">
    <w:p w14:paraId="529111C3" w14:textId="77777777" w:rsidR="009564C6" w:rsidRDefault="009564C6" w:rsidP="004C6A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F1"/>
    <w:rsid w:val="000512B8"/>
    <w:rsid w:val="000A483C"/>
    <w:rsid w:val="000F3E83"/>
    <w:rsid w:val="00107EF6"/>
    <w:rsid w:val="00143432"/>
    <w:rsid w:val="00147DFC"/>
    <w:rsid w:val="001979C7"/>
    <w:rsid w:val="001A6242"/>
    <w:rsid w:val="001A647A"/>
    <w:rsid w:val="001D7AD3"/>
    <w:rsid w:val="00210B74"/>
    <w:rsid w:val="00225E00"/>
    <w:rsid w:val="00260393"/>
    <w:rsid w:val="002A4000"/>
    <w:rsid w:val="003326E9"/>
    <w:rsid w:val="00382CF1"/>
    <w:rsid w:val="003D7A21"/>
    <w:rsid w:val="004229F7"/>
    <w:rsid w:val="004447E1"/>
    <w:rsid w:val="00455DC1"/>
    <w:rsid w:val="00456015"/>
    <w:rsid w:val="00476BCF"/>
    <w:rsid w:val="004C6AE8"/>
    <w:rsid w:val="00513B2D"/>
    <w:rsid w:val="00552ED4"/>
    <w:rsid w:val="00581DD9"/>
    <w:rsid w:val="006849CA"/>
    <w:rsid w:val="006960D5"/>
    <w:rsid w:val="00696CB9"/>
    <w:rsid w:val="006A6D85"/>
    <w:rsid w:val="006C0349"/>
    <w:rsid w:val="00710549"/>
    <w:rsid w:val="007A6837"/>
    <w:rsid w:val="007D0E79"/>
    <w:rsid w:val="00850C61"/>
    <w:rsid w:val="008A2CE6"/>
    <w:rsid w:val="008B5588"/>
    <w:rsid w:val="008D38F7"/>
    <w:rsid w:val="008E6668"/>
    <w:rsid w:val="0090103D"/>
    <w:rsid w:val="0092124C"/>
    <w:rsid w:val="00932D4D"/>
    <w:rsid w:val="00944E68"/>
    <w:rsid w:val="009564C6"/>
    <w:rsid w:val="00997D75"/>
    <w:rsid w:val="009F6A15"/>
    <w:rsid w:val="00A529B2"/>
    <w:rsid w:val="00A60B97"/>
    <w:rsid w:val="00A76DAC"/>
    <w:rsid w:val="00A80108"/>
    <w:rsid w:val="00A94C0C"/>
    <w:rsid w:val="00AC244D"/>
    <w:rsid w:val="00AD1087"/>
    <w:rsid w:val="00AE2103"/>
    <w:rsid w:val="00B10A00"/>
    <w:rsid w:val="00BA1329"/>
    <w:rsid w:val="00BD64EB"/>
    <w:rsid w:val="00BD686E"/>
    <w:rsid w:val="00BF1F9B"/>
    <w:rsid w:val="00C01331"/>
    <w:rsid w:val="00C41194"/>
    <w:rsid w:val="00C9556E"/>
    <w:rsid w:val="00CB6AC7"/>
    <w:rsid w:val="00D27A43"/>
    <w:rsid w:val="00D654D5"/>
    <w:rsid w:val="00DB1CCC"/>
    <w:rsid w:val="00DC4D10"/>
    <w:rsid w:val="00DE4ADF"/>
    <w:rsid w:val="00E133C8"/>
    <w:rsid w:val="00E40893"/>
    <w:rsid w:val="00E64582"/>
    <w:rsid w:val="00EB040F"/>
    <w:rsid w:val="00EB20A3"/>
    <w:rsid w:val="00EF22E6"/>
    <w:rsid w:val="00FE6B9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6FB47"/>
  <w15:chartTrackingRefBased/>
  <w15:docId w15:val="{A2B960BA-A10C-4EE2-826C-C951C443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A21"/>
    <w:pPr>
      <w:jc w:val="both"/>
    </w:pPr>
    <w:rPr>
      <w:rFonts w:ascii="Times New Roman" w:hAnsi="Times New Roman"/>
      <w:kern w:val="2"/>
      <w:lang w:val="en-GB"/>
    </w:rPr>
  </w:style>
  <w:style w:type="paragraph" w:styleId="Heading1">
    <w:name w:val="heading 1"/>
    <w:basedOn w:val="Normal"/>
    <w:next w:val="Normal"/>
    <w:link w:val="Heading1Char"/>
    <w:uiPriority w:val="9"/>
    <w:qFormat/>
    <w:rsid w:val="00382CF1"/>
    <w:pPr>
      <w:keepNext/>
      <w:keepLines/>
      <w:spacing w:before="360" w:after="80"/>
      <w:jc w:val="left"/>
      <w:outlineLvl w:val="0"/>
    </w:pPr>
    <w:rPr>
      <w:rFonts w:asciiTheme="majorHAnsi" w:eastAsiaTheme="majorEastAsia" w:hAnsiTheme="majorHAnsi" w:cstheme="majorBidi"/>
      <w:color w:val="2F5496" w:themeColor="accent1" w:themeShade="BF"/>
      <w:kern w:val="0"/>
      <w:sz w:val="40"/>
      <w:szCs w:val="40"/>
      <w:lang w:val="en-US"/>
    </w:rPr>
  </w:style>
  <w:style w:type="paragraph" w:styleId="Heading2">
    <w:name w:val="heading 2"/>
    <w:basedOn w:val="Normal"/>
    <w:next w:val="Normal"/>
    <w:link w:val="Heading2Char"/>
    <w:uiPriority w:val="9"/>
    <w:semiHidden/>
    <w:unhideWhenUsed/>
    <w:qFormat/>
    <w:rsid w:val="00382CF1"/>
    <w:pPr>
      <w:keepNext/>
      <w:keepLines/>
      <w:spacing w:before="160" w:after="80"/>
      <w:jc w:val="left"/>
      <w:outlineLvl w:val="1"/>
    </w:pPr>
    <w:rPr>
      <w:rFonts w:asciiTheme="majorHAnsi" w:eastAsiaTheme="majorEastAsia" w:hAnsiTheme="majorHAnsi" w:cstheme="majorBidi"/>
      <w:color w:val="2F5496" w:themeColor="accent1" w:themeShade="BF"/>
      <w:kern w:val="0"/>
      <w:sz w:val="32"/>
      <w:szCs w:val="32"/>
      <w:lang w:val="en-US"/>
    </w:rPr>
  </w:style>
  <w:style w:type="paragraph" w:styleId="Heading3">
    <w:name w:val="heading 3"/>
    <w:basedOn w:val="Normal"/>
    <w:next w:val="Normal"/>
    <w:link w:val="Heading3Char"/>
    <w:uiPriority w:val="9"/>
    <w:semiHidden/>
    <w:unhideWhenUsed/>
    <w:qFormat/>
    <w:rsid w:val="00382CF1"/>
    <w:pPr>
      <w:keepNext/>
      <w:keepLines/>
      <w:spacing w:before="160" w:after="80"/>
      <w:jc w:val="left"/>
      <w:outlineLvl w:val="2"/>
    </w:pPr>
    <w:rPr>
      <w:rFonts w:asciiTheme="minorHAnsi" w:eastAsiaTheme="majorEastAsia" w:hAnsiTheme="minorHAnsi" w:cstheme="majorBidi"/>
      <w:color w:val="2F5496" w:themeColor="accent1" w:themeShade="BF"/>
      <w:kern w:val="0"/>
      <w:sz w:val="28"/>
      <w:szCs w:val="28"/>
      <w:lang w:val="en-US"/>
    </w:rPr>
  </w:style>
  <w:style w:type="paragraph" w:styleId="Heading4">
    <w:name w:val="heading 4"/>
    <w:basedOn w:val="Normal"/>
    <w:next w:val="Normal"/>
    <w:link w:val="Heading4Char"/>
    <w:uiPriority w:val="9"/>
    <w:semiHidden/>
    <w:unhideWhenUsed/>
    <w:qFormat/>
    <w:rsid w:val="00382CF1"/>
    <w:pPr>
      <w:keepNext/>
      <w:keepLines/>
      <w:spacing w:before="80" w:after="40"/>
      <w:jc w:val="left"/>
      <w:outlineLvl w:val="3"/>
    </w:pPr>
    <w:rPr>
      <w:rFonts w:asciiTheme="minorHAnsi" w:eastAsiaTheme="majorEastAsia" w:hAnsiTheme="minorHAnsi" w:cstheme="majorBidi"/>
      <w:i/>
      <w:iCs/>
      <w:color w:val="2F5496" w:themeColor="accent1" w:themeShade="BF"/>
      <w:kern w:val="0"/>
      <w:lang w:val="en-US"/>
    </w:rPr>
  </w:style>
  <w:style w:type="paragraph" w:styleId="Heading5">
    <w:name w:val="heading 5"/>
    <w:basedOn w:val="Normal"/>
    <w:next w:val="Normal"/>
    <w:link w:val="Heading5Char"/>
    <w:uiPriority w:val="9"/>
    <w:semiHidden/>
    <w:unhideWhenUsed/>
    <w:qFormat/>
    <w:rsid w:val="00382CF1"/>
    <w:pPr>
      <w:keepNext/>
      <w:keepLines/>
      <w:spacing w:before="80" w:after="40"/>
      <w:jc w:val="left"/>
      <w:outlineLvl w:val="4"/>
    </w:pPr>
    <w:rPr>
      <w:rFonts w:asciiTheme="minorHAnsi" w:eastAsiaTheme="majorEastAsia" w:hAnsiTheme="minorHAnsi" w:cstheme="majorBidi"/>
      <w:color w:val="2F5496" w:themeColor="accent1" w:themeShade="BF"/>
      <w:kern w:val="0"/>
      <w:lang w:val="en-US"/>
    </w:rPr>
  </w:style>
  <w:style w:type="paragraph" w:styleId="Heading6">
    <w:name w:val="heading 6"/>
    <w:basedOn w:val="Normal"/>
    <w:next w:val="Normal"/>
    <w:link w:val="Heading6Char"/>
    <w:uiPriority w:val="9"/>
    <w:semiHidden/>
    <w:unhideWhenUsed/>
    <w:qFormat/>
    <w:rsid w:val="00382CF1"/>
    <w:pPr>
      <w:keepNext/>
      <w:keepLines/>
      <w:spacing w:before="40" w:after="0"/>
      <w:jc w:val="left"/>
      <w:outlineLvl w:val="5"/>
    </w:pPr>
    <w:rPr>
      <w:rFonts w:asciiTheme="minorHAnsi" w:eastAsiaTheme="majorEastAsia" w:hAnsiTheme="minorHAnsi" w:cstheme="majorBidi"/>
      <w:i/>
      <w:iCs/>
      <w:color w:val="595959" w:themeColor="text1" w:themeTint="A6"/>
      <w:kern w:val="0"/>
      <w:lang w:val="en-US"/>
    </w:rPr>
  </w:style>
  <w:style w:type="paragraph" w:styleId="Heading7">
    <w:name w:val="heading 7"/>
    <w:basedOn w:val="Normal"/>
    <w:next w:val="Normal"/>
    <w:link w:val="Heading7Char"/>
    <w:uiPriority w:val="9"/>
    <w:semiHidden/>
    <w:unhideWhenUsed/>
    <w:qFormat/>
    <w:rsid w:val="00382CF1"/>
    <w:pPr>
      <w:keepNext/>
      <w:keepLines/>
      <w:spacing w:before="40" w:after="0"/>
      <w:jc w:val="left"/>
      <w:outlineLvl w:val="6"/>
    </w:pPr>
    <w:rPr>
      <w:rFonts w:asciiTheme="minorHAnsi" w:eastAsiaTheme="majorEastAsia" w:hAnsiTheme="minorHAnsi" w:cstheme="majorBidi"/>
      <w:color w:val="595959" w:themeColor="text1" w:themeTint="A6"/>
      <w:kern w:val="0"/>
      <w:lang w:val="en-US"/>
    </w:rPr>
  </w:style>
  <w:style w:type="paragraph" w:styleId="Heading8">
    <w:name w:val="heading 8"/>
    <w:basedOn w:val="Normal"/>
    <w:next w:val="Normal"/>
    <w:link w:val="Heading8Char"/>
    <w:uiPriority w:val="9"/>
    <w:semiHidden/>
    <w:unhideWhenUsed/>
    <w:qFormat/>
    <w:rsid w:val="00382CF1"/>
    <w:pPr>
      <w:keepNext/>
      <w:keepLines/>
      <w:spacing w:after="0"/>
      <w:jc w:val="left"/>
      <w:outlineLvl w:val="7"/>
    </w:pPr>
    <w:rPr>
      <w:rFonts w:asciiTheme="minorHAnsi" w:eastAsiaTheme="majorEastAsia" w:hAnsiTheme="minorHAnsi" w:cstheme="majorBidi"/>
      <w:i/>
      <w:iCs/>
      <w:color w:val="272727" w:themeColor="text1" w:themeTint="D8"/>
      <w:kern w:val="0"/>
      <w:lang w:val="en-US"/>
    </w:rPr>
  </w:style>
  <w:style w:type="paragraph" w:styleId="Heading9">
    <w:name w:val="heading 9"/>
    <w:basedOn w:val="Normal"/>
    <w:next w:val="Normal"/>
    <w:link w:val="Heading9Char"/>
    <w:uiPriority w:val="9"/>
    <w:semiHidden/>
    <w:unhideWhenUsed/>
    <w:qFormat/>
    <w:rsid w:val="00382CF1"/>
    <w:pPr>
      <w:keepNext/>
      <w:keepLines/>
      <w:spacing w:after="0"/>
      <w:jc w:val="left"/>
      <w:outlineLvl w:val="8"/>
    </w:pPr>
    <w:rPr>
      <w:rFonts w:asciiTheme="minorHAnsi" w:eastAsiaTheme="majorEastAsia" w:hAnsiTheme="minorHAnsi" w:cstheme="majorBidi"/>
      <w:color w:val="272727" w:themeColor="text1" w:themeTint="D8"/>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C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C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C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C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C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CF1"/>
    <w:rPr>
      <w:rFonts w:eastAsiaTheme="majorEastAsia" w:cstheme="majorBidi"/>
      <w:color w:val="272727" w:themeColor="text1" w:themeTint="D8"/>
    </w:rPr>
  </w:style>
  <w:style w:type="paragraph" w:styleId="Title">
    <w:name w:val="Title"/>
    <w:basedOn w:val="Normal"/>
    <w:next w:val="Normal"/>
    <w:link w:val="TitleChar"/>
    <w:uiPriority w:val="10"/>
    <w:qFormat/>
    <w:rsid w:val="00382CF1"/>
    <w:pPr>
      <w:spacing w:after="80" w:line="240" w:lineRule="auto"/>
      <w:contextualSpacing/>
      <w:jc w:val="left"/>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82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CF1"/>
    <w:pPr>
      <w:numPr>
        <w:ilvl w:val="1"/>
      </w:numPr>
      <w:jc w:val="left"/>
    </w:pPr>
    <w:rPr>
      <w:rFonts w:asciiTheme="minorHAnsi" w:eastAsiaTheme="majorEastAsia" w:hAnsiTheme="minorHAnsi" w:cstheme="majorBidi"/>
      <w:color w:val="595959" w:themeColor="text1" w:themeTint="A6"/>
      <w:spacing w:val="15"/>
      <w:kern w:val="0"/>
      <w:sz w:val="28"/>
      <w:szCs w:val="28"/>
      <w:lang w:val="en-US"/>
    </w:rPr>
  </w:style>
  <w:style w:type="character" w:customStyle="1" w:styleId="SubtitleChar">
    <w:name w:val="Subtitle Char"/>
    <w:basedOn w:val="DefaultParagraphFont"/>
    <w:link w:val="Subtitle"/>
    <w:uiPriority w:val="11"/>
    <w:rsid w:val="00382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CF1"/>
    <w:pPr>
      <w:spacing w:before="160"/>
      <w:jc w:val="center"/>
    </w:pPr>
    <w:rPr>
      <w:rFonts w:asciiTheme="minorHAnsi" w:hAnsiTheme="minorHAnsi"/>
      <w:i/>
      <w:iCs/>
      <w:color w:val="404040" w:themeColor="text1" w:themeTint="BF"/>
      <w:kern w:val="0"/>
      <w:lang w:val="en-US"/>
    </w:rPr>
  </w:style>
  <w:style w:type="character" w:customStyle="1" w:styleId="QuoteChar">
    <w:name w:val="Quote Char"/>
    <w:basedOn w:val="DefaultParagraphFont"/>
    <w:link w:val="Quote"/>
    <w:uiPriority w:val="29"/>
    <w:rsid w:val="00382CF1"/>
    <w:rPr>
      <w:i/>
      <w:iCs/>
      <w:color w:val="404040" w:themeColor="text1" w:themeTint="BF"/>
    </w:rPr>
  </w:style>
  <w:style w:type="paragraph" w:styleId="ListParagraph">
    <w:name w:val="List Paragraph"/>
    <w:basedOn w:val="Normal"/>
    <w:uiPriority w:val="34"/>
    <w:qFormat/>
    <w:rsid w:val="00382CF1"/>
    <w:pPr>
      <w:ind w:left="720"/>
      <w:contextualSpacing/>
      <w:jc w:val="left"/>
    </w:pPr>
    <w:rPr>
      <w:rFonts w:asciiTheme="minorHAnsi" w:hAnsiTheme="minorHAnsi"/>
      <w:kern w:val="0"/>
      <w:lang w:val="en-US"/>
    </w:rPr>
  </w:style>
  <w:style w:type="character" w:styleId="IntenseEmphasis">
    <w:name w:val="Intense Emphasis"/>
    <w:basedOn w:val="DefaultParagraphFont"/>
    <w:uiPriority w:val="21"/>
    <w:qFormat/>
    <w:rsid w:val="00382CF1"/>
    <w:rPr>
      <w:i/>
      <w:iCs/>
      <w:color w:val="2F5496" w:themeColor="accent1" w:themeShade="BF"/>
    </w:rPr>
  </w:style>
  <w:style w:type="paragraph" w:styleId="IntenseQuote">
    <w:name w:val="Intense Quote"/>
    <w:basedOn w:val="Normal"/>
    <w:next w:val="Normal"/>
    <w:link w:val="IntenseQuoteChar"/>
    <w:uiPriority w:val="30"/>
    <w:qFormat/>
    <w:rsid w:val="00382CF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i/>
      <w:iCs/>
      <w:color w:val="2F5496" w:themeColor="accent1" w:themeShade="BF"/>
      <w:kern w:val="0"/>
      <w:lang w:val="en-US"/>
    </w:rPr>
  </w:style>
  <w:style w:type="character" w:customStyle="1" w:styleId="IntenseQuoteChar">
    <w:name w:val="Intense Quote Char"/>
    <w:basedOn w:val="DefaultParagraphFont"/>
    <w:link w:val="IntenseQuote"/>
    <w:uiPriority w:val="30"/>
    <w:rsid w:val="00382CF1"/>
    <w:rPr>
      <w:i/>
      <w:iCs/>
      <w:color w:val="2F5496" w:themeColor="accent1" w:themeShade="BF"/>
    </w:rPr>
  </w:style>
  <w:style w:type="character" w:styleId="IntenseReference">
    <w:name w:val="Intense Reference"/>
    <w:basedOn w:val="DefaultParagraphFont"/>
    <w:uiPriority w:val="32"/>
    <w:qFormat/>
    <w:rsid w:val="00382CF1"/>
    <w:rPr>
      <w:b/>
      <w:bCs/>
      <w:smallCaps/>
      <w:color w:val="2F5496" w:themeColor="accent1" w:themeShade="BF"/>
      <w:spacing w:val="5"/>
    </w:rPr>
  </w:style>
  <w:style w:type="character" w:styleId="Hyperlink">
    <w:name w:val="Hyperlink"/>
    <w:basedOn w:val="DefaultParagraphFont"/>
    <w:uiPriority w:val="99"/>
    <w:unhideWhenUsed/>
    <w:rsid w:val="00382CF1"/>
    <w:rPr>
      <w:color w:val="0563C1" w:themeColor="hyperlink"/>
      <w:u w:val="single"/>
    </w:rPr>
  </w:style>
  <w:style w:type="character" w:styleId="LineNumber">
    <w:name w:val="line number"/>
    <w:basedOn w:val="DefaultParagraphFont"/>
    <w:uiPriority w:val="99"/>
    <w:semiHidden/>
    <w:unhideWhenUsed/>
    <w:rsid w:val="00382CF1"/>
  </w:style>
  <w:style w:type="paragraph" w:styleId="Header">
    <w:name w:val="header"/>
    <w:basedOn w:val="Normal"/>
    <w:link w:val="HeaderChar"/>
    <w:uiPriority w:val="99"/>
    <w:unhideWhenUsed/>
    <w:rsid w:val="004C6AE8"/>
    <w:pPr>
      <w:tabs>
        <w:tab w:val="center" w:pos="4320"/>
        <w:tab w:val="right" w:pos="8640"/>
      </w:tabs>
      <w:spacing w:after="0" w:line="240" w:lineRule="auto"/>
    </w:pPr>
  </w:style>
  <w:style w:type="character" w:customStyle="1" w:styleId="HeaderChar">
    <w:name w:val="Header Char"/>
    <w:basedOn w:val="DefaultParagraphFont"/>
    <w:link w:val="Header"/>
    <w:uiPriority w:val="99"/>
    <w:rsid w:val="004C6AE8"/>
    <w:rPr>
      <w:rFonts w:ascii="Times New Roman" w:hAnsi="Times New Roman"/>
      <w:kern w:val="2"/>
      <w:lang w:val="en-GB"/>
    </w:rPr>
  </w:style>
  <w:style w:type="paragraph" w:styleId="Footer">
    <w:name w:val="footer"/>
    <w:basedOn w:val="Normal"/>
    <w:link w:val="FooterChar"/>
    <w:uiPriority w:val="99"/>
    <w:unhideWhenUsed/>
    <w:rsid w:val="004C6AE8"/>
    <w:pPr>
      <w:tabs>
        <w:tab w:val="center" w:pos="4320"/>
        <w:tab w:val="right" w:pos="8640"/>
      </w:tabs>
      <w:spacing w:after="0" w:line="240" w:lineRule="auto"/>
    </w:pPr>
  </w:style>
  <w:style w:type="character" w:customStyle="1" w:styleId="FooterChar">
    <w:name w:val="Footer Char"/>
    <w:basedOn w:val="DefaultParagraphFont"/>
    <w:link w:val="Footer"/>
    <w:uiPriority w:val="99"/>
    <w:rsid w:val="004C6AE8"/>
    <w:rPr>
      <w:rFonts w:ascii="Times New Roman" w:hAnsi="Times New Roman"/>
      <w:kern w:val="2"/>
      <w:lang w:val="en-GB"/>
    </w:rPr>
  </w:style>
  <w:style w:type="paragraph" w:styleId="Revision">
    <w:name w:val="Revision"/>
    <w:hidden/>
    <w:uiPriority w:val="99"/>
    <w:semiHidden/>
    <w:rsid w:val="00AD1087"/>
    <w:pPr>
      <w:spacing w:after="0" w:line="240" w:lineRule="auto"/>
    </w:pPr>
    <w:rPr>
      <w:rFonts w:ascii="Times New Roman" w:hAnsi="Times New Roman"/>
      <w:kern w:val="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Peiyuan Zhu</dc:creator>
  <cp:keywords/>
  <dc:description/>
  <cp:lastModifiedBy>Venkatesan Munusamy</cp:lastModifiedBy>
  <cp:revision>5</cp:revision>
  <dcterms:created xsi:type="dcterms:W3CDTF">2026-08-13T06:56:00Z</dcterms:created>
  <dcterms:modified xsi:type="dcterms:W3CDTF">2026-10-09T12:04:00Z</dcterms:modified>
</cp:coreProperties>
</file>