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38B" w:rsidRPr="00607FE6" w:rsidRDefault="0067338B" w:rsidP="0067338B">
      <w:pPr>
        <w:jc w:val="both"/>
        <w:rPr>
          <w:rFonts w:cs="Arial"/>
          <w:b/>
          <w:color w:val="000000" w:themeColor="text1"/>
          <w:sz w:val="28"/>
        </w:rPr>
      </w:pPr>
      <w:r w:rsidRPr="00607FE6">
        <w:rPr>
          <w:rFonts w:cs="Arial"/>
          <w:b/>
          <w:color w:val="000000" w:themeColor="text1"/>
          <w:sz w:val="28"/>
        </w:rPr>
        <w:t>Supplementary material</w:t>
      </w:r>
    </w:p>
    <w:p w:rsidR="0067338B" w:rsidRPr="00607FE6" w:rsidRDefault="0067338B" w:rsidP="0067338B">
      <w:pPr>
        <w:jc w:val="both"/>
        <w:rPr>
          <w:color w:val="000000" w:themeColor="text1"/>
        </w:rPr>
      </w:pPr>
    </w:p>
    <w:p w:rsidR="0067338B" w:rsidRPr="00607FE6" w:rsidRDefault="0067338B" w:rsidP="0067338B">
      <w:pPr>
        <w:jc w:val="both"/>
        <w:rPr>
          <w:color w:val="000000" w:themeColor="text1"/>
        </w:rPr>
      </w:pPr>
      <w:r w:rsidRPr="00607FE6">
        <w:rPr>
          <w:color w:val="000000" w:themeColor="text1"/>
        </w:rPr>
        <w:t>Table S1. Antibodies used in the present study</w:t>
      </w:r>
    </w:p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1558"/>
        <w:gridCol w:w="1559"/>
        <w:gridCol w:w="1558"/>
        <w:gridCol w:w="1559"/>
        <w:gridCol w:w="1558"/>
        <w:gridCol w:w="1559"/>
      </w:tblGrid>
      <w:tr w:rsidR="0067338B" w:rsidRPr="00607FE6" w:rsidTr="00C502E1">
        <w:tc>
          <w:tcPr>
            <w:tcW w:w="1558" w:type="dxa"/>
            <w:vAlign w:val="center"/>
          </w:tcPr>
          <w:p w:rsidR="0067338B" w:rsidRPr="00607FE6" w:rsidRDefault="0067338B" w:rsidP="00C502E1">
            <w:pPr>
              <w:spacing w:before="120" w:after="1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b/>
                <w:color w:val="000000" w:themeColor="text1"/>
                <w:sz w:val="18"/>
                <w:szCs w:val="18"/>
              </w:rPr>
              <w:t>Antibody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spacing w:before="120" w:after="1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b/>
                <w:color w:val="000000" w:themeColor="text1"/>
                <w:sz w:val="18"/>
                <w:szCs w:val="18"/>
              </w:rPr>
              <w:t>Fluorochrome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spacing w:before="120" w:after="1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b/>
                <w:color w:val="000000" w:themeColor="text1"/>
                <w:sz w:val="18"/>
                <w:szCs w:val="18"/>
              </w:rPr>
              <w:t>Company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spacing w:before="120" w:after="1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b/>
                <w:color w:val="000000" w:themeColor="text1"/>
                <w:sz w:val="18"/>
                <w:szCs w:val="18"/>
              </w:rPr>
              <w:t>Catalogue no.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spacing w:before="120" w:after="1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b/>
                <w:color w:val="000000" w:themeColor="text1"/>
                <w:sz w:val="18"/>
                <w:szCs w:val="18"/>
              </w:rPr>
              <w:t>Clone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spacing w:before="120" w:after="12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b/>
                <w:color w:val="000000" w:themeColor="text1"/>
                <w:sz w:val="18"/>
                <w:szCs w:val="18"/>
              </w:rPr>
              <w:t>Dilution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eastAsia="Times New Roman" w:cs="Arial"/>
                <w:color w:val="000000" w:themeColor="text1"/>
                <w:sz w:val="18"/>
                <w:szCs w:val="18"/>
                <w:lang w:eastAsia="en-GB"/>
              </w:rPr>
              <w:t>α-CD4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AF647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BD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557681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RM4-5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200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α-CD45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AF700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Invitrogen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56-0451-82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30-F11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400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α-CD4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FITC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BD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553055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RM4-4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400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α-Foxp3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PE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607FE6">
              <w:rPr>
                <w:rFonts w:eastAsia="Times New Roman" w:cs="Arial"/>
                <w:color w:val="000000" w:themeColor="text1"/>
                <w:sz w:val="18"/>
                <w:szCs w:val="18"/>
                <w:lang w:eastAsia="en-GB"/>
              </w:rPr>
              <w:t>eBioscience</w:t>
            </w:r>
            <w:proofErr w:type="spellEnd"/>
            <w:r w:rsidRPr="00607FE6">
              <w:rPr>
                <w:rFonts w:eastAsia="Times New Roman" w:cs="Arial"/>
                <w:color w:val="000000" w:themeColor="text1"/>
                <w:sz w:val="18"/>
                <w:szCs w:val="18"/>
                <w:lang w:eastAsia="en-GB"/>
              </w:rPr>
              <w:t>™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12477182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NRRF-30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200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α-</w:t>
            </w:r>
            <w:proofErr w:type="spellStart"/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RORγt</w:t>
            </w:r>
            <w:proofErr w:type="spellEnd"/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Alexa Fluor 647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BD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562682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Q31-378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200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α-GATA3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eFluor</w:t>
            </w:r>
            <w:proofErr w:type="spellEnd"/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 xml:space="preserve"> 450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Invitrogen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48-9966-42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TWAJ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α-GATA3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BV421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BD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563349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L50-823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67338B" w:rsidRPr="00607FE6" w:rsidTr="00C502E1">
        <w:trPr>
          <w:trHeight w:val="397"/>
        </w:trPr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α-T-bet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PE-Cy7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Invitrogen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25-5825-82</w:t>
            </w:r>
          </w:p>
        </w:tc>
        <w:tc>
          <w:tcPr>
            <w:tcW w:w="1558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eBio4B10 (4B10)</w:t>
            </w:r>
          </w:p>
        </w:tc>
        <w:tc>
          <w:tcPr>
            <w:tcW w:w="1559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600</w:t>
            </w:r>
          </w:p>
        </w:tc>
      </w:tr>
    </w:tbl>
    <w:p w:rsidR="0067338B" w:rsidRPr="00607FE6" w:rsidRDefault="0067338B" w:rsidP="0067338B">
      <w:pPr>
        <w:jc w:val="both"/>
        <w:rPr>
          <w:color w:val="000000" w:themeColor="text1"/>
        </w:rPr>
      </w:pPr>
    </w:p>
    <w:p w:rsidR="0067338B" w:rsidRPr="00607FE6" w:rsidRDefault="0067338B" w:rsidP="0067338B">
      <w:pPr>
        <w:jc w:val="both"/>
        <w:rPr>
          <w:color w:val="000000" w:themeColor="text1"/>
        </w:rPr>
      </w:pPr>
      <w:r w:rsidRPr="00607FE6">
        <w:rPr>
          <w:color w:val="000000" w:themeColor="text1"/>
        </w:rPr>
        <w:t>Table S2. RT-PCR primers used in the present study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0"/>
      </w:tblGrid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b/>
                <w:color w:val="000000" w:themeColor="text1"/>
                <w:sz w:val="18"/>
                <w:szCs w:val="18"/>
              </w:rPr>
              <w:t>Gene of interest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b/>
                <w:color w:val="000000" w:themeColor="text1"/>
                <w:sz w:val="18"/>
                <w:szCs w:val="18"/>
              </w:rPr>
              <w:t>forward primer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07FE6">
              <w:rPr>
                <w:b/>
                <w:color w:val="000000" w:themeColor="text1"/>
                <w:sz w:val="18"/>
                <w:szCs w:val="18"/>
              </w:rPr>
              <w:t>reverse primer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i/>
                <w:color w:val="000000" w:themeColor="text1"/>
                <w:sz w:val="18"/>
                <w:szCs w:val="18"/>
                <w:lang w:val="de-DE"/>
              </w:rPr>
              <w:t>Reg3</w:t>
            </w:r>
            <w:r w:rsidRPr="00607FE6">
              <w:rPr>
                <w:rFonts w:cs="Arial"/>
                <w:i/>
                <w:color w:val="000000" w:themeColor="text1"/>
                <w:sz w:val="18"/>
                <w:szCs w:val="18"/>
                <w:lang w:val="el-GR"/>
              </w:rPr>
              <w:t>γ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 xml:space="preserve">CAA GAT GCT TCC CCG TAT AAC 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AGC TGC TAC GTG AAG ATG G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i/>
                <w:color w:val="000000" w:themeColor="text1"/>
                <w:sz w:val="18"/>
                <w:szCs w:val="18"/>
              </w:rPr>
              <w:t>Tff3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 xml:space="preserve">GCT AAT GCT GTT GGT </w:t>
            </w:r>
            <w:proofErr w:type="spellStart"/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GGT</w:t>
            </w:r>
            <w:proofErr w:type="spellEnd"/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 xml:space="preserve"> CC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sv-SE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  <w:lang w:val="sv-SE"/>
              </w:rPr>
              <w:t>TCC GAT GTG ACA GAG GGG TA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i/>
                <w:color w:val="000000" w:themeColor="text1"/>
                <w:sz w:val="18"/>
                <w:szCs w:val="18"/>
              </w:rPr>
              <w:t>Muc2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color w:val="000000" w:themeColor="text1"/>
                <w:sz w:val="18"/>
                <w:szCs w:val="18"/>
                <w:lang w:val="it-IT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  <w:lang w:val="it-IT"/>
              </w:rPr>
              <w:t>CAC CAT CTA CCT CAC CCA CA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color w:val="000000" w:themeColor="text1"/>
                <w:sz w:val="18"/>
                <w:szCs w:val="18"/>
                <w:lang w:val="sv-SE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  <w:lang w:val="sv-SE"/>
              </w:rPr>
              <w:t>GGT CTG CAT GCC ATT GAA GT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i/>
                <w:color w:val="000000" w:themeColor="text1"/>
                <w:sz w:val="18"/>
                <w:szCs w:val="18"/>
              </w:rPr>
              <w:t>Cldn8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 xml:space="preserve">CTG GAG </w:t>
            </w:r>
            <w:proofErr w:type="spellStart"/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GAG</w:t>
            </w:r>
            <w:proofErr w:type="spellEnd"/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 xml:space="preserve"> CAC TGT TCT GT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sv-SE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  <w:lang w:val="sv-SE"/>
              </w:rPr>
              <w:t>TGG CTG GTT TGG TGA TTT AT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607FE6">
              <w:rPr>
                <w:rFonts w:cs="Arial"/>
                <w:i/>
                <w:color w:val="000000" w:themeColor="text1"/>
                <w:sz w:val="18"/>
                <w:szCs w:val="18"/>
              </w:rPr>
              <w:t>Ocln</w:t>
            </w:r>
            <w:proofErr w:type="spellEnd"/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ATC CAC CTA TCA CTT CAG A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TAA TCT CCC ACC ATC CTC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i/>
                <w:color w:val="000000" w:themeColor="text1"/>
                <w:sz w:val="18"/>
                <w:szCs w:val="18"/>
              </w:rPr>
              <w:t>Tjp1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CCA CCT CTG TCC AGC TCT TC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sv-SE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  <w:lang w:val="sv-SE"/>
              </w:rPr>
              <w:t>CAC CGG AGT GAT GGT TTT CT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i/>
                <w:color w:val="000000" w:themeColor="text1"/>
                <w:sz w:val="18"/>
                <w:szCs w:val="18"/>
              </w:rPr>
              <w:t>Il23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GAG CAA CTT CAC ACC TCC CTA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TAG AAC TCA GGC TGG GCAT C</w:t>
            </w:r>
          </w:p>
        </w:tc>
      </w:tr>
      <w:tr w:rsidR="0067338B" w:rsidRPr="00607FE6" w:rsidTr="00C502E1">
        <w:trPr>
          <w:trHeight w:val="340"/>
        </w:trPr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607FE6">
              <w:rPr>
                <w:rFonts w:cs="Arial"/>
                <w:i/>
                <w:color w:val="000000" w:themeColor="text1"/>
                <w:sz w:val="18"/>
                <w:szCs w:val="18"/>
              </w:rPr>
              <w:t>Gapdh</w:t>
            </w:r>
            <w:proofErr w:type="spellEnd"/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AGA ACA TCA TCC CTG CAT CC</w:t>
            </w:r>
          </w:p>
        </w:tc>
        <w:tc>
          <w:tcPr>
            <w:tcW w:w="3132" w:type="dxa"/>
            <w:vAlign w:val="center"/>
          </w:tcPr>
          <w:p w:rsidR="0067338B" w:rsidRPr="00607FE6" w:rsidRDefault="0067338B" w:rsidP="00C502E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07FE6">
              <w:rPr>
                <w:rFonts w:cs="Arial"/>
                <w:color w:val="000000" w:themeColor="text1"/>
                <w:sz w:val="18"/>
                <w:szCs w:val="18"/>
              </w:rPr>
              <w:t>GGT CCT CAG TGT AGC CCA AG</w:t>
            </w:r>
          </w:p>
        </w:tc>
      </w:tr>
    </w:tbl>
    <w:p w:rsidR="0067338B" w:rsidRPr="00607FE6" w:rsidRDefault="0067338B" w:rsidP="0067338B">
      <w:pPr>
        <w:rPr>
          <w:color w:val="000000" w:themeColor="text1"/>
        </w:rPr>
      </w:pPr>
      <w:r w:rsidRPr="00607FE6">
        <w:rPr>
          <w:color w:val="000000" w:themeColor="text1"/>
        </w:rPr>
        <w:br w:type="page"/>
      </w:r>
    </w:p>
    <w:p w:rsidR="0067338B" w:rsidRPr="00607FE6" w:rsidRDefault="0067338B" w:rsidP="0067338B">
      <w:pPr>
        <w:jc w:val="both"/>
        <w:rPr>
          <w:color w:val="000000" w:themeColor="text1"/>
        </w:rPr>
      </w:pPr>
      <w:r w:rsidRPr="00607FE6">
        <w:rPr>
          <w:color w:val="000000" w:themeColor="text1"/>
        </w:rPr>
        <w:lastRenderedPageBreak/>
        <w:t>Table S3. Summary of the study results</w:t>
      </w:r>
    </w:p>
    <w:p w:rsidR="0067338B" w:rsidRPr="00607FE6" w:rsidRDefault="0067338B" w:rsidP="0067338B">
      <w:pPr>
        <w:jc w:val="both"/>
        <w:rPr>
          <w:color w:val="000000" w:themeColor="text1"/>
        </w:rPr>
      </w:pPr>
      <w:r w:rsidRPr="00607FE6">
        <w:rPr>
          <w:noProof/>
          <w:color w:val="000000" w:themeColor="text1"/>
          <w:lang w:val="de-DE" w:eastAsia="de-DE"/>
        </w:rPr>
        <w:drawing>
          <wp:inline distT="0" distB="0" distL="0" distR="0" wp14:anchorId="568FE155" wp14:editId="68C45D4E">
            <wp:extent cx="5644904" cy="3695546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904" cy="3695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338B" w:rsidRPr="00607FE6" w:rsidRDefault="0067338B" w:rsidP="0067338B">
      <w:pPr>
        <w:jc w:val="both"/>
        <w:rPr>
          <w:color w:val="000000" w:themeColor="text1"/>
        </w:rPr>
      </w:pPr>
    </w:p>
    <w:p w:rsidR="0067338B" w:rsidRPr="00607FE6" w:rsidRDefault="0067338B" w:rsidP="0067338B">
      <w:pPr>
        <w:jc w:val="both"/>
        <w:rPr>
          <w:color w:val="000000" w:themeColor="text1"/>
        </w:rPr>
      </w:pPr>
      <w:r w:rsidRPr="00607FE6">
        <w:rPr>
          <w:noProof/>
          <w:color w:val="000000" w:themeColor="text1"/>
          <w:lang w:val="de-DE" w:eastAsia="de-DE"/>
        </w:rPr>
        <w:drawing>
          <wp:inline distT="0" distB="0" distL="0" distR="0" wp14:anchorId="503C7AF6" wp14:editId="3B461259">
            <wp:extent cx="5860104" cy="3333750"/>
            <wp:effectExtent l="0" t="0" r="762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327" cy="3336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4787" w:rsidRPr="0067338B" w:rsidRDefault="0067338B" w:rsidP="0067338B">
      <w:r w:rsidRPr="00B926F8">
        <w:rPr>
          <w:color w:val="000000" w:themeColor="text1"/>
        </w:rPr>
        <w:t>Figure S1. Representative gating strategy for the identification of splenic and Peyer's patch CD4</w:t>
      </w:r>
      <w:r w:rsidRPr="00B926F8">
        <w:rPr>
          <w:rFonts w:ascii="Cambria Math" w:hAnsi="Cambria Math" w:cs="Cambria Math"/>
          <w:color w:val="000000" w:themeColor="text1"/>
        </w:rPr>
        <w:t>⁺</w:t>
      </w:r>
      <w:r w:rsidRPr="00B926F8">
        <w:rPr>
          <w:color w:val="000000" w:themeColor="text1"/>
        </w:rPr>
        <w:t xml:space="preserve"> T-cell subsets. Following exclusion of doublets and dead cells, CD45</w:t>
      </w:r>
      <w:r w:rsidRPr="00B926F8">
        <w:rPr>
          <w:rFonts w:ascii="Cambria Math" w:hAnsi="Cambria Math" w:cs="Cambria Math"/>
          <w:color w:val="000000" w:themeColor="text1"/>
        </w:rPr>
        <w:t xml:space="preserve">⁺ </w:t>
      </w:r>
      <w:r w:rsidRPr="00B926F8">
        <w:rPr>
          <w:color w:val="000000" w:themeColor="text1"/>
        </w:rPr>
        <w:t>CD4</w:t>
      </w:r>
      <w:r w:rsidRPr="00B926F8">
        <w:rPr>
          <w:rFonts w:ascii="Cambria Math" w:hAnsi="Cambria Math" w:cs="Cambria Math"/>
          <w:color w:val="000000" w:themeColor="text1"/>
        </w:rPr>
        <w:t>⁺</w:t>
      </w:r>
      <w:r w:rsidRPr="00B926F8">
        <w:rPr>
          <w:color w:val="000000" w:themeColor="text1"/>
        </w:rPr>
        <w:t xml:space="preserve"> T cells were identified and subsequently classified as Th1 (T-bet</w:t>
      </w:r>
      <w:r w:rsidRPr="00B926F8">
        <w:rPr>
          <w:rFonts w:ascii="Cambria Math" w:hAnsi="Cambria Math" w:cs="Cambria Math"/>
          <w:color w:val="000000" w:themeColor="text1"/>
        </w:rPr>
        <w:t>⁺</w:t>
      </w:r>
      <w:r w:rsidRPr="00B926F8">
        <w:rPr>
          <w:color w:val="000000" w:themeColor="text1"/>
        </w:rPr>
        <w:t>), Th2 (GATA3</w:t>
      </w:r>
      <w:r w:rsidRPr="00B926F8">
        <w:rPr>
          <w:rFonts w:ascii="Cambria Math" w:hAnsi="Cambria Math" w:cs="Cambria Math"/>
          <w:color w:val="000000" w:themeColor="text1"/>
        </w:rPr>
        <w:t>⁺</w:t>
      </w:r>
      <w:r w:rsidRPr="00B926F8">
        <w:rPr>
          <w:color w:val="000000" w:themeColor="text1"/>
        </w:rPr>
        <w:t>), Th17 (</w:t>
      </w:r>
      <w:proofErr w:type="spellStart"/>
      <w:r w:rsidRPr="00B926F8">
        <w:rPr>
          <w:color w:val="000000" w:themeColor="text1"/>
        </w:rPr>
        <w:t>ROR</w:t>
      </w:r>
      <w:r w:rsidRPr="00B926F8">
        <w:rPr>
          <w:rFonts w:cs="Arial"/>
          <w:color w:val="000000" w:themeColor="text1"/>
        </w:rPr>
        <w:t>γ</w:t>
      </w:r>
      <w:r w:rsidRPr="00B926F8">
        <w:rPr>
          <w:color w:val="000000" w:themeColor="text1"/>
        </w:rPr>
        <w:t>t</w:t>
      </w:r>
      <w:proofErr w:type="spellEnd"/>
      <w:r w:rsidRPr="00B926F8">
        <w:rPr>
          <w:rFonts w:ascii="Cambria Math" w:hAnsi="Cambria Math" w:cs="Cambria Math"/>
          <w:color w:val="000000" w:themeColor="text1"/>
        </w:rPr>
        <w:t>⁺</w:t>
      </w:r>
      <w:r w:rsidRPr="00B926F8">
        <w:rPr>
          <w:color w:val="000000" w:themeColor="text1"/>
        </w:rPr>
        <w:t xml:space="preserve">), or </w:t>
      </w:r>
      <w:proofErr w:type="spellStart"/>
      <w:r w:rsidRPr="00B926F8">
        <w:rPr>
          <w:color w:val="000000" w:themeColor="text1"/>
        </w:rPr>
        <w:t>Treg</w:t>
      </w:r>
      <w:proofErr w:type="spellEnd"/>
      <w:r w:rsidRPr="00B926F8">
        <w:rPr>
          <w:color w:val="000000" w:themeColor="text1"/>
        </w:rPr>
        <w:t xml:space="preserve"> (FoxP3</w:t>
      </w:r>
      <w:r w:rsidRPr="00B926F8">
        <w:rPr>
          <w:rFonts w:ascii="Cambria Math" w:hAnsi="Cambria Math" w:cs="Cambria Math"/>
          <w:color w:val="000000" w:themeColor="text1"/>
        </w:rPr>
        <w:t>⁺</w:t>
      </w:r>
      <w:r w:rsidRPr="00B926F8">
        <w:rPr>
          <w:color w:val="000000" w:themeColor="text1"/>
        </w:rPr>
        <w:t>) cells according to lin</w:t>
      </w:r>
      <w:bookmarkStart w:id="0" w:name="_GoBack"/>
      <w:bookmarkEnd w:id="0"/>
      <w:r w:rsidRPr="00B926F8">
        <w:rPr>
          <w:color w:val="000000" w:themeColor="text1"/>
        </w:rPr>
        <w:t>eage-specific transcription factor expression.</w:t>
      </w:r>
    </w:p>
    <w:sectPr w:rsidR="00944787" w:rsidRPr="0067338B" w:rsidSect="000621DC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92"/>
    <w:rsid w:val="000621DC"/>
    <w:rsid w:val="00343B98"/>
    <w:rsid w:val="00446892"/>
    <w:rsid w:val="0067338B"/>
    <w:rsid w:val="00944787"/>
    <w:rsid w:val="00B926F8"/>
    <w:rsid w:val="00BC0C23"/>
    <w:rsid w:val="00D7399E"/>
    <w:rsid w:val="00D9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09B23-B771-4916-92D7-66CC939D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46892"/>
    <w:rPr>
      <w:rFonts w:ascii="Arial" w:hAnsi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46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062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Fischer</dc:creator>
  <cp:keywords/>
  <dc:description/>
  <cp:lastModifiedBy>Florence Fischer</cp:lastModifiedBy>
  <cp:revision>3</cp:revision>
  <dcterms:created xsi:type="dcterms:W3CDTF">2026-08-27T08:20:00Z</dcterms:created>
  <dcterms:modified xsi:type="dcterms:W3CDTF">2026-08-27T08:41:00Z</dcterms:modified>
</cp:coreProperties>
</file>